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00"/>
        <w:jc w:val="center"/>
      </w:pPr>
      <w:r>
        <w:drawing>
          <wp:inline xmlns:a="http://schemas.openxmlformats.org/drawingml/2006/main" xmlns:pic="http://schemas.openxmlformats.org/drawingml/2006/picture">
            <wp:extent cx="5120640" cy="1406139"/>
            <wp:docPr id="1" name="Picture 1"/>
            <wp:cNvGraphicFramePr>
              <a:graphicFrameLocks noChangeAspect="1"/>
            </wp:cNvGraphicFramePr>
            <a:graphic>
              <a:graphicData uri="http://schemas.openxmlformats.org/drawingml/2006/picture">
                <pic:pic>
                  <pic:nvPicPr>
                    <pic:cNvPr id="0" name="image1.png"/>
                    <pic:cNvPicPr/>
                  </pic:nvPicPr>
                  <pic:blipFill>
                    <a:blip r:embed="rId9"/>
                    <a:stretch>
                      <a:fillRect/>
                    </a:stretch>
                  </pic:blipFill>
                  <pic:spPr>
                    <a:xfrm>
                      <a:off x="0" y="0"/>
                      <a:ext cx="5120640" cy="1406139"/>
                    </a:xfrm>
                    <a:prstGeom prst="rect"/>
                  </pic:spPr>
                </pic:pic>
              </a:graphicData>
            </a:graphic>
          </wp:inline>
        </w:drawing>
      </w:r>
    </w:p>
    <w:p>
      <w:pPr>
        <w:spacing w:before="480"/>
        <w:jc w:val="center"/>
      </w:pPr>
      <w:r>
        <w:rPr>
          <w:rFonts w:ascii="Inter" w:hAnsi="Inter"/>
          <w:b/>
          <w:color w:val="0F1B3D"/>
          <w:sz w:val="56"/>
        </w:rPr>
        <w:t>05 — Publication, tracking &amp; optimisation IA</w:t>
      </w:r>
    </w:p>
    <w:p>
      <w:pPr>
        <w:jc w:val="center"/>
      </w:pPr>
      <w:r>
        <w:rPr>
          <w:rFonts w:ascii="Inter" w:hAnsi="Inter"/>
          <w:b w:val="0"/>
          <w:color w:val="7352C7"/>
          <w:sz w:val="26"/>
        </w:rPr>
        <w:t>Distribution, attribution, analytics, reporting et boucle d’apprentissage</w:t>
      </w:r>
    </w:p>
    <w:p>
      <w:pPr>
        <w:spacing w:before="400"/>
        <w:jc w:val="center"/>
      </w:pPr>
      <w:r>
        <w:rPr>
          <w:rFonts w:ascii="Inter" w:hAnsi="Inter"/>
          <w:b w:val="0"/>
          <w:i/>
          <w:color w:val="1EB367"/>
          <w:sz w:val="22"/>
        </w:rPr>
        <w:t>Your Trusted Business Transfer Platform</w:t>
      </w:r>
    </w:p>
    <w:p>
      <w:pPr>
        <w:spacing w:before="800"/>
        <w:jc w:val="center"/>
      </w:pPr>
      <w:r>
        <w:rPr>
          <w:rFonts w:ascii="Inter" w:hAnsi="Inter"/>
          <w:b w:val="0"/>
          <w:color w:val="5A6475"/>
          <w:sz w:val="18"/>
        </w:rPr>
        <w:t>equirs.com — 30/08/2026</w:t>
      </w:r>
    </w:p>
    <w:p>
      <w:pPr>
        <w:jc w:val="center"/>
      </w:pPr>
      <w:r>
        <w:rPr>
          <w:rFonts w:ascii="Inter" w:hAnsi="Inter"/>
          <w:b w:val="0"/>
          <w:i/>
          <w:color w:val="5A6475"/>
          <w:sz w:val="16"/>
        </w:rPr>
        <w:t>Document confidentiel — usage interne</w:t>
      </w:r>
    </w:p>
    <w:p>
      <w:r>
        <w:br w:type="page"/>
      </w:r>
    </w:p>
    <w:p>
      <w:pPr>
        <w:pStyle w:val="Heading1"/>
      </w:pPr>
      <w:r>
        <w:t>Résumé exécutif</w:t>
      </w:r>
    </w:p>
    <w:p>
      <w:r>
        <w:rPr>
          <w:rFonts w:ascii="Inter" w:hAnsi="Inter"/>
          <w:color w:val="0F1B3D"/>
        </w:rPr>
        <w:t>Un contenu n’est pas terminé lorsqu’il est publié. Il doit être suivi jusqu’aux actions métier equirs, comparé aux autres contenus et utilisé pour modifier le calendrier. L’objectif est de relier chaque CONTENT_ID aux sessions, inscriptions, annonces, déblocages, NDA, Data Rooms, offres et LOI.</w:t>
      </w:r>
    </w:p>
    <w:p>
      <w:pPr>
        <w:spacing w:before="100" w:after="140"/>
        <w:ind w:left="432" w:right="288"/>
        <w:pBdr>
          <w:left w:val="single" w:sz="18" w:space="8" w:color="1EB367"/>
        </w:pBdr>
      </w:pPr>
      <w:r>
        <w:rPr>
          <w:rFonts w:ascii="Inter" w:hAnsi="Inter"/>
          <w:b/>
          <w:i/>
          <w:color w:val="0F1B3D"/>
          <w:sz w:val="22"/>
        </w:rPr>
        <w:t>CONTENT APPROVED → UTM → PUBLISH → SOCIAL + GA4 + EQUIRS EVENTS → DATASET → PERFORMANCE ENGINE → AI ANALYST → RECOMMANDATIONS → CALENDRIER</w:t>
      </w:r>
    </w:p>
    <w:p>
      <w:pPr>
        <w:pStyle w:val="Heading1"/>
      </w:pPr>
      <w:r>
        <w:t>1. Identifiant unique</w:t>
      </w:r>
    </w:p>
    <w:p>
      <w:r>
        <w:rPr>
          <w:rFonts w:ascii="Inter" w:hAnsi="Inter"/>
          <w:color w:val="0F1B3D"/>
        </w:rPr>
        <w:t>Chaque contenu conserve un CONTENT_ID unique — par exemple EQ-2026-0907-01 — dans la base éditoriale, les liens UTM, les publications, GA4, les événements métier et les rapports.</w:t>
      </w:r>
    </w:p>
    <w:p>
      <w:pPr>
        <w:pStyle w:val="Heading1"/>
      </w:pPr>
      <w:r>
        <w:t>2. Convention UTM</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3744"/>
            <w:shd w:fill="0F1B3D"/>
            <w:vAlign w:val="center"/>
          </w:tcPr>
          <w:p>
            <w:pPr>
              <w:jc w:val="center"/>
            </w:pPr>
            <w:r>
              <w:rPr>
                <w:rFonts w:ascii="Inter" w:hAnsi="Inter"/>
                <w:b/>
                <w:color w:val="FFFFFF"/>
                <w:sz w:val="16"/>
              </w:rPr>
              <w:t>Paramètre</w:t>
            </w:r>
          </w:p>
        </w:tc>
        <w:tc>
          <w:tcPr>
            <w:tcW w:type="dxa" w:w="5904"/>
            <w:shd w:fill="0F1B3D"/>
            <w:vAlign w:val="center"/>
          </w:tcPr>
          <w:p>
            <w:pPr>
              <w:jc w:val="center"/>
            </w:pPr>
            <w:r>
              <w:rPr>
                <w:rFonts w:ascii="Inter" w:hAnsi="Inter"/>
                <w:b/>
                <w:color w:val="FFFFFF"/>
                <w:sz w:val="16"/>
              </w:rPr>
              <w:t>Exemple</w:t>
            </w:r>
          </w:p>
        </w:tc>
      </w:tr>
      <w:tr>
        <w:trPr>
          <w:cantSplit/>
        </w:trPr>
        <w:tc>
          <w:tcPr>
            <w:tcW w:type="dxa" w:w="3744"/>
            <w:vAlign w:val="top"/>
            <w:shd w:fill="F8FAFC"/>
          </w:tcPr>
          <w:p>
            <w:r>
              <w:rPr>
                <w:rFonts w:ascii="Inter" w:hAnsi="Inter"/>
                <w:b w:val="0"/>
                <w:color w:val="0F1B3D"/>
                <w:sz w:val="16"/>
              </w:rPr>
              <w:t>utm_source</w:t>
            </w:r>
          </w:p>
        </w:tc>
        <w:tc>
          <w:tcPr>
            <w:tcW w:type="dxa" w:w="5904"/>
            <w:vAlign w:val="top"/>
            <w:shd w:fill="F8FAFC"/>
          </w:tcPr>
          <w:p>
            <w:r>
              <w:rPr>
                <w:rFonts w:ascii="Inter" w:hAnsi="Inter"/>
                <w:b w:val="0"/>
                <w:color w:val="0F1B3D"/>
                <w:sz w:val="16"/>
              </w:rPr>
              <w:t>linkedin</w:t>
            </w:r>
          </w:p>
        </w:tc>
      </w:tr>
      <w:tr>
        <w:trPr>
          <w:cantSplit/>
        </w:trPr>
        <w:tc>
          <w:tcPr>
            <w:tcW w:type="dxa" w:w="3744"/>
            <w:vAlign w:val="top"/>
          </w:tcPr>
          <w:p>
            <w:r>
              <w:rPr>
                <w:rFonts w:ascii="Inter" w:hAnsi="Inter"/>
                <w:b w:val="0"/>
                <w:color w:val="0F1B3D"/>
                <w:sz w:val="16"/>
              </w:rPr>
              <w:t>utm_medium</w:t>
            </w:r>
          </w:p>
        </w:tc>
        <w:tc>
          <w:tcPr>
            <w:tcW w:type="dxa" w:w="5904"/>
            <w:vAlign w:val="top"/>
          </w:tcPr>
          <w:p>
            <w:r>
              <w:rPr>
                <w:rFonts w:ascii="Inter" w:hAnsi="Inter"/>
                <w:b w:val="0"/>
                <w:color w:val="0F1B3D"/>
                <w:sz w:val="16"/>
              </w:rPr>
              <w:t>organic_social / paid_social / paid_search</w:t>
            </w:r>
          </w:p>
        </w:tc>
      </w:tr>
      <w:tr>
        <w:trPr>
          <w:cantSplit/>
        </w:trPr>
        <w:tc>
          <w:tcPr>
            <w:tcW w:type="dxa" w:w="3744"/>
            <w:vAlign w:val="top"/>
            <w:shd w:fill="F8FAFC"/>
          </w:tcPr>
          <w:p>
            <w:r>
              <w:rPr>
                <w:rFonts w:ascii="Inter" w:hAnsi="Inter"/>
                <w:b w:val="0"/>
                <w:color w:val="0F1B3D"/>
                <w:sz w:val="16"/>
              </w:rPr>
              <w:t>utm_campaign</w:t>
            </w:r>
          </w:p>
        </w:tc>
        <w:tc>
          <w:tcPr>
            <w:tcW w:type="dxa" w:w="5904"/>
            <w:vAlign w:val="top"/>
            <w:shd w:fill="F8FAFC"/>
          </w:tcPr>
          <w:p>
            <w:r>
              <w:rPr>
                <w:rFonts w:ascii="Inter" w:hAnsi="Inter"/>
                <w:b w:val="0"/>
                <w:color w:val="0F1B3D"/>
                <w:sz w:val="16"/>
              </w:rPr>
              <w:t>seller_acquisition_q4</w:t>
            </w:r>
          </w:p>
        </w:tc>
      </w:tr>
      <w:tr>
        <w:trPr>
          <w:cantSplit/>
        </w:trPr>
        <w:tc>
          <w:tcPr>
            <w:tcW w:type="dxa" w:w="3744"/>
            <w:vAlign w:val="top"/>
          </w:tcPr>
          <w:p>
            <w:r>
              <w:rPr>
                <w:rFonts w:ascii="Inter" w:hAnsi="Inter"/>
                <w:b w:val="0"/>
                <w:color w:val="0F1B3D"/>
                <w:sz w:val="16"/>
              </w:rPr>
              <w:t>utm_content</w:t>
            </w:r>
          </w:p>
        </w:tc>
        <w:tc>
          <w:tcPr>
            <w:tcW w:type="dxa" w:w="5904"/>
            <w:vAlign w:val="top"/>
          </w:tcPr>
          <w:p>
            <w:r>
              <w:rPr>
                <w:rFonts w:ascii="Inter" w:hAnsi="Inter"/>
                <w:b w:val="0"/>
                <w:color w:val="0F1B3D"/>
                <w:sz w:val="16"/>
              </w:rPr>
              <w:t>EQ-2026-0907-01</w:t>
            </w:r>
          </w:p>
        </w:tc>
      </w:tr>
      <w:tr>
        <w:trPr>
          <w:cantSplit/>
        </w:trPr>
        <w:tc>
          <w:tcPr>
            <w:tcW w:type="dxa" w:w="3744"/>
            <w:vAlign w:val="top"/>
            <w:shd w:fill="F8FAFC"/>
          </w:tcPr>
          <w:p>
            <w:r>
              <w:rPr>
                <w:rFonts w:ascii="Inter" w:hAnsi="Inter"/>
                <w:b w:val="0"/>
                <w:color w:val="0F1B3D"/>
                <w:sz w:val="16"/>
              </w:rPr>
              <w:t>utm_term</w:t>
            </w:r>
          </w:p>
        </w:tc>
        <w:tc>
          <w:tcPr>
            <w:tcW w:type="dxa" w:w="5904"/>
            <w:vAlign w:val="top"/>
            <w:shd w:fill="F8FAFC"/>
          </w:tcPr>
          <w:p>
            <w:r>
              <w:rPr>
                <w:rFonts w:ascii="Inter" w:hAnsi="Inter"/>
                <w:b w:val="0"/>
                <w:color w:val="0F1B3D"/>
                <w:sz w:val="16"/>
              </w:rPr>
              <w:t>business_valuation</w:t>
            </w:r>
          </w:p>
        </w:tc>
      </w:tr>
    </w:tbl>
    <w:p>
      <w:pPr>
        <w:spacing w:after="40"/>
      </w:pPr>
    </w:p>
    <w:p>
      <w:pPr>
        <w:pStyle w:val="Heading1"/>
      </w:pPr>
      <w:r>
        <w:t>3. Événements GA4 / métier</w:t>
      </w:r>
    </w:p>
    <w:p>
      <w:pPr>
        <w:pStyle w:val="ListBullet"/>
      </w:pPr>
      <w:r>
        <w:rPr>
          <w:rFonts w:ascii="Inter" w:hAnsi="Inter"/>
        </w:rPr>
        <w:t>sign_up</w:t>
      </w:r>
    </w:p>
    <w:p>
      <w:pPr>
        <w:pStyle w:val="ListBullet"/>
      </w:pPr>
      <w:r>
        <w:rPr>
          <w:rFonts w:ascii="Inter" w:hAnsi="Inter"/>
        </w:rPr>
        <w:t>login</w:t>
      </w:r>
    </w:p>
    <w:p>
      <w:pPr>
        <w:pStyle w:val="ListBullet"/>
      </w:pPr>
      <w:r>
        <w:rPr>
          <w:rFonts w:ascii="Inter" w:hAnsi="Inter"/>
        </w:rPr>
        <w:t>view_listing</w:t>
      </w:r>
    </w:p>
    <w:p>
      <w:pPr>
        <w:pStyle w:val="ListBullet"/>
      </w:pPr>
      <w:r>
        <w:rPr>
          <w:rFonts w:ascii="Inter" w:hAnsi="Inter"/>
        </w:rPr>
        <w:t>favorite_listing</w:t>
      </w:r>
    </w:p>
    <w:p>
      <w:pPr>
        <w:pStyle w:val="ListBullet"/>
      </w:pPr>
      <w:r>
        <w:rPr>
          <w:rFonts w:ascii="Inter" w:hAnsi="Inter"/>
        </w:rPr>
        <w:t>save_search</w:t>
      </w:r>
    </w:p>
    <w:p>
      <w:pPr>
        <w:pStyle w:val="ListBullet"/>
      </w:pPr>
      <w:r>
        <w:rPr>
          <w:rFonts w:ascii="Inter" w:hAnsi="Inter"/>
        </w:rPr>
        <w:t>create_alert</w:t>
      </w:r>
    </w:p>
    <w:p>
      <w:pPr>
        <w:pStyle w:val="ListBullet"/>
      </w:pPr>
      <w:r>
        <w:rPr>
          <w:rFonts w:ascii="Inter" w:hAnsi="Inter"/>
        </w:rPr>
        <w:t>start_listing</w:t>
      </w:r>
    </w:p>
    <w:p>
      <w:pPr>
        <w:pStyle w:val="ListBullet"/>
      </w:pPr>
      <w:r>
        <w:rPr>
          <w:rFonts w:ascii="Inter" w:hAnsi="Inter"/>
        </w:rPr>
        <w:t>complete_listing</w:t>
      </w:r>
    </w:p>
    <w:p>
      <w:pPr>
        <w:pStyle w:val="ListBullet"/>
      </w:pPr>
      <w:r>
        <w:rPr>
          <w:rFonts w:ascii="Inter" w:hAnsi="Inter"/>
        </w:rPr>
        <w:t>publish_listing</w:t>
      </w:r>
    </w:p>
    <w:p>
      <w:pPr>
        <w:pStyle w:val="ListBullet"/>
      </w:pPr>
      <w:r>
        <w:rPr>
          <w:rFonts w:ascii="Inter" w:hAnsi="Inter"/>
        </w:rPr>
        <w:t>request_verification</w:t>
      </w:r>
    </w:p>
    <w:p>
      <w:pPr>
        <w:pStyle w:val="ListBullet"/>
      </w:pPr>
      <w:r>
        <w:rPr>
          <w:rFonts w:ascii="Inter" w:hAnsi="Inter"/>
        </w:rPr>
        <w:t>unlock_listing</w:t>
      </w:r>
    </w:p>
    <w:p>
      <w:pPr>
        <w:pStyle w:val="ListBullet"/>
      </w:pPr>
      <w:r>
        <w:rPr>
          <w:rFonts w:ascii="Inter" w:hAnsi="Inter"/>
        </w:rPr>
        <w:t>start_nda</w:t>
      </w:r>
    </w:p>
    <w:p>
      <w:pPr>
        <w:pStyle w:val="ListBullet"/>
      </w:pPr>
      <w:r>
        <w:rPr>
          <w:rFonts w:ascii="Inter" w:hAnsi="Inter"/>
        </w:rPr>
        <w:t>sign_nda</w:t>
      </w:r>
    </w:p>
    <w:p>
      <w:pPr>
        <w:pStyle w:val="ListBullet"/>
      </w:pPr>
      <w:r>
        <w:rPr>
          <w:rFonts w:ascii="Inter" w:hAnsi="Inter"/>
        </w:rPr>
        <w:t>request_data_room</w:t>
      </w:r>
    </w:p>
    <w:p>
      <w:pPr>
        <w:pStyle w:val="ListBullet"/>
      </w:pPr>
      <w:r>
        <w:rPr>
          <w:rFonts w:ascii="Inter" w:hAnsi="Inter"/>
        </w:rPr>
        <w:t>open_data_room</w:t>
      </w:r>
    </w:p>
    <w:p>
      <w:pPr>
        <w:pStyle w:val="ListBullet"/>
      </w:pPr>
      <w:r>
        <w:rPr>
          <w:rFonts w:ascii="Inter" w:hAnsi="Inter"/>
        </w:rPr>
        <w:t>request_visit</w:t>
      </w:r>
    </w:p>
    <w:p>
      <w:pPr>
        <w:pStyle w:val="ListBullet"/>
      </w:pPr>
      <w:r>
        <w:rPr>
          <w:rFonts w:ascii="Inter" w:hAnsi="Inter"/>
        </w:rPr>
        <w:t>submit_offer</w:t>
      </w:r>
    </w:p>
    <w:p>
      <w:pPr>
        <w:pStyle w:val="ListBullet"/>
      </w:pPr>
      <w:r>
        <w:rPr>
          <w:rFonts w:ascii="Inter" w:hAnsi="Inter"/>
        </w:rPr>
        <w:t>counter_offer</w:t>
      </w:r>
    </w:p>
    <w:p>
      <w:pPr>
        <w:pStyle w:val="ListBullet"/>
      </w:pPr>
      <w:r>
        <w:rPr>
          <w:rFonts w:ascii="Inter" w:hAnsi="Inter"/>
        </w:rPr>
        <w:t>accept_offer</w:t>
      </w:r>
    </w:p>
    <w:p>
      <w:pPr>
        <w:pStyle w:val="ListBullet"/>
      </w:pPr>
      <w:r>
        <w:rPr>
          <w:rFonts w:ascii="Inter" w:hAnsi="Inter"/>
        </w:rPr>
        <w:t>generate_loi</w:t>
      </w:r>
    </w:p>
    <w:p>
      <w:pPr>
        <w:pStyle w:val="ListBullet"/>
      </w:pPr>
      <w:r>
        <w:rPr>
          <w:rFonts w:ascii="Inter" w:hAnsi="Inter"/>
        </w:rPr>
        <w:t>sign_loi</w:t>
      </w:r>
    </w:p>
    <w:p>
      <w:pPr>
        <w:pStyle w:val="ListBullet"/>
      </w:pPr>
      <w:r>
        <w:rPr>
          <w:rFonts w:ascii="Inter" w:hAnsi="Inter"/>
        </w:rPr>
        <w:t>subscribe_buyer_pro</w:t>
      </w:r>
    </w:p>
    <w:p>
      <w:pPr>
        <w:pStyle w:val="ListBullet"/>
      </w:pPr>
      <w:r>
        <w:rPr>
          <w:rFonts w:ascii="Inter" w:hAnsi="Inter"/>
        </w:rPr>
        <w:t>subscribe_cabinet</w:t>
      </w:r>
    </w:p>
    <w:p>
      <w:pPr>
        <w:pStyle w:val="Heading2"/>
      </w:pPr>
      <w:r>
        <w:t>Propriétés d’événements</w:t>
      </w:r>
    </w:p>
    <w:p>
      <w:pPr>
        <w:pStyle w:val="ListBullet"/>
      </w:pPr>
      <w:r>
        <w:rPr>
          <w:rFonts w:ascii="Inter" w:hAnsi="Inter"/>
        </w:rPr>
        <w:t>content_id</w:t>
      </w:r>
    </w:p>
    <w:p>
      <w:pPr>
        <w:pStyle w:val="ListBullet"/>
      </w:pPr>
      <w:r>
        <w:rPr>
          <w:rFonts w:ascii="Inter" w:hAnsi="Inter"/>
        </w:rPr>
        <w:t>acquisition_source</w:t>
      </w:r>
    </w:p>
    <w:p>
      <w:pPr>
        <w:pStyle w:val="ListBullet"/>
      </w:pPr>
      <w:r>
        <w:rPr>
          <w:rFonts w:ascii="Inter" w:hAnsi="Inter"/>
        </w:rPr>
        <w:t>listing_type</w:t>
      </w:r>
    </w:p>
    <w:p>
      <w:pPr>
        <w:pStyle w:val="ListBullet"/>
      </w:pPr>
      <w:r>
        <w:rPr>
          <w:rFonts w:ascii="Inter" w:hAnsi="Inter"/>
        </w:rPr>
        <w:t>category</w:t>
      </w:r>
    </w:p>
    <w:p>
      <w:pPr>
        <w:pStyle w:val="ListBullet"/>
      </w:pPr>
      <w:r>
        <w:rPr>
          <w:rFonts w:ascii="Inter" w:hAnsi="Inter"/>
        </w:rPr>
        <w:t>city</w:t>
      </w:r>
    </w:p>
    <w:p>
      <w:pPr>
        <w:pStyle w:val="ListBullet"/>
      </w:pPr>
      <w:r>
        <w:rPr>
          <w:rFonts w:ascii="Inter" w:hAnsi="Inter"/>
        </w:rPr>
        <w:t>trust_level</w:t>
      </w:r>
    </w:p>
    <w:p>
      <w:pPr>
        <w:pStyle w:val="ListBullet"/>
      </w:pPr>
      <w:r>
        <w:rPr>
          <w:rFonts w:ascii="Inter" w:hAnsi="Inter"/>
        </w:rPr>
        <w:t>campaign_id</w:t>
      </w:r>
    </w:p>
    <w:p>
      <w:pPr>
        <w:pStyle w:val="ListBullet"/>
      </w:pPr>
      <w:r>
        <w:rPr>
          <w:rFonts w:ascii="Inter" w:hAnsi="Inter"/>
        </w:rPr>
        <w:t>listing_id pseudonymisé</w:t>
      </w:r>
    </w:p>
    <w:tbl>
      <w:tblPr>
        <w:tblW w:type="auto" w:w="0"/>
        <w:jc w:val="center"/>
        <w:tblLayout w:type="autofit"/>
        <w:tblLook w:firstColumn="1" w:firstRow="1" w:lastColumn="0" w:lastRow="0" w:noHBand="0" w:noVBand="1" w:val="04A0"/>
      </w:tblPr>
      <w:tblGrid>
        <w:gridCol w:w="10080"/>
      </w:tblGrid>
      <w:tr>
        <w:tc>
          <w:tcPr>
            <w:tcW w:type="dxa" w:w="10080"/>
            <w:shd w:fill="F4F6F9"/>
            <w:tcBorders>
              <w:top w:val="single" w:sz="6" w:color="E7EBF1"/>
              <w:left w:val="single" w:sz="6" w:color="E7EBF1"/>
              <w:bottom w:val="single" w:sz="6" w:color="E7EBF1"/>
              <w:right w:val="single" w:sz="6" w:color="E7EBF1"/>
            </w:tcBorders>
          </w:tcPr>
          <w:p>
            <w:r>
              <w:rPr>
                <w:rFonts w:ascii="Inter" w:hAnsi="Inter"/>
                <w:b/>
                <w:color w:val="0F1B3D"/>
                <w:sz w:val="20"/>
              </w:rPr>
              <w:t>Protection des données</w:t>
            </w:r>
          </w:p>
          <w:p>
            <w:r>
              <w:rPr>
                <w:rFonts w:ascii="Inter" w:hAnsi="Inter"/>
                <w:b w:val="0"/>
                <w:color w:val="0F1B3D"/>
                <w:sz w:val="18"/>
              </w:rPr>
              <w:t>Ne jamais envoyer à GA4 / Meta / LinkedIn : nom du vendeur, téléphone, email, documents, contenu Data Room, informations confidentielles ou contenu NDA.</w:t>
            </w:r>
          </w:p>
        </w:tc>
      </w:tr>
    </w:tbl>
    <w:p>
      <w:pPr>
        <w:spacing w:after="20"/>
      </w:pPr>
    </w:p>
    <w:p>
      <w:pPr>
        <w:pStyle w:val="Heading1"/>
      </w:pPr>
      <w:r>
        <w:t>4. Publication automatisée</w:t>
      </w:r>
    </w:p>
    <w:p>
      <w:pPr>
        <w:spacing w:before="100" w:after="140"/>
        <w:ind w:left="432" w:right="288"/>
        <w:pBdr>
          <w:left w:val="single" w:sz="18" w:space="8" w:color="1EB367"/>
        </w:pBdr>
      </w:pPr>
      <w:r>
        <w:rPr>
          <w:rFonts w:ascii="Inter" w:hAnsi="Inter"/>
          <w:b/>
          <w:i/>
          <w:color w:val="0F1B3D"/>
          <w:sz w:val="22"/>
        </w:rPr>
        <w:t>STATUS = APPROVED → GET FINAL ASSETS → GENERATE UTM → CHECK DATE → CHECK NETWORK → PUBLISH → SAVE POST ID → STATUS = PUBLISHED</w:t>
      </w:r>
    </w:p>
    <w:p>
      <w:pPr>
        <w:pStyle w:val="Heading2"/>
      </w:pPr>
      <w:r>
        <w:t>Gates avant publication</w:t>
      </w:r>
    </w:p>
    <w:p>
      <w:pPr>
        <w:pStyle w:val="ListBullet"/>
      </w:pPr>
      <w:r>
        <w:rPr>
          <w:rFonts w:ascii="Inter" w:hAnsi="Inter"/>
        </w:rPr>
        <w:t>status == APPROVED</w:t>
      </w:r>
    </w:p>
    <w:p>
      <w:pPr>
        <w:pStyle w:val="ListBullet"/>
      </w:pPr>
      <w:r>
        <w:rPr>
          <w:rFonts w:ascii="Inter" w:hAnsi="Inter"/>
        </w:rPr>
        <w:t>compliance == APPROVED</w:t>
      </w:r>
    </w:p>
    <w:p>
      <w:pPr>
        <w:pStyle w:val="ListBullet"/>
      </w:pPr>
      <w:r>
        <w:rPr>
          <w:rFonts w:ascii="Inter" w:hAnsi="Inter"/>
        </w:rPr>
        <w:t>asset présent</w:t>
      </w:r>
    </w:p>
    <w:p>
      <w:pPr>
        <w:pStyle w:val="ListBullet"/>
      </w:pPr>
      <w:r>
        <w:rPr>
          <w:rFonts w:ascii="Inter" w:hAnsi="Inter"/>
        </w:rPr>
        <w:t>tarif revalidé si nécessaire</w:t>
      </w:r>
    </w:p>
    <w:p>
      <w:pPr>
        <w:pStyle w:val="ListBullet"/>
      </w:pPr>
      <w:r>
        <w:rPr>
          <w:rFonts w:ascii="Inter" w:hAnsi="Inter"/>
        </w:rPr>
        <w:t>listing public et actif pour un DEAL post</w:t>
      </w:r>
    </w:p>
    <w:p>
      <w:pPr>
        <w:pStyle w:val="Heading1"/>
      </w:pPr>
      <w:r>
        <w:t>5. Table CONTENT_PUBLICATIONS</w:t>
      </w:r>
    </w:p>
    <w:tbl>
      <w:tblPr>
        <w:tblStyle w:val="TableGrid"/>
        <w:tblW w:type="auto" w:w="0"/>
        <w:jc w:val="center"/>
        <w:tblLayout w:type="autofit"/>
        <w:tblLook w:firstColumn="1" w:firstRow="1" w:lastColumn="0" w:lastRow="0" w:noHBand="0" w:noVBand="1" w:val="04A0"/>
      </w:tblPr>
      <w:tblGrid>
        <w:gridCol w:w="2016"/>
        <w:gridCol w:w="2016"/>
        <w:gridCol w:w="2016"/>
        <w:gridCol w:w="2016"/>
        <w:gridCol w:w="2016"/>
      </w:tblGrid>
      <w:tr>
        <w:trPr>
          <w:cantSplit/>
        </w:trPr>
        <w:tc>
          <w:tcPr>
            <w:tcW w:type="dxa" w:w="2160"/>
            <w:shd w:fill="0F1B3D"/>
            <w:vAlign w:val="center"/>
          </w:tcPr>
          <w:p>
            <w:pPr>
              <w:jc w:val="center"/>
            </w:pPr>
            <w:r>
              <w:rPr>
                <w:rFonts w:ascii="Inter" w:hAnsi="Inter"/>
                <w:b/>
                <w:color w:val="FFFFFF"/>
                <w:sz w:val="15"/>
              </w:rPr>
              <w:t>content_id</w:t>
            </w:r>
          </w:p>
        </w:tc>
        <w:tc>
          <w:tcPr>
            <w:tcW w:type="dxa" w:w="1872"/>
            <w:shd w:fill="0F1B3D"/>
            <w:vAlign w:val="center"/>
          </w:tcPr>
          <w:p>
            <w:pPr>
              <w:jc w:val="center"/>
            </w:pPr>
            <w:r>
              <w:rPr>
                <w:rFonts w:ascii="Inter" w:hAnsi="Inter"/>
                <w:b/>
                <w:color w:val="FFFFFF"/>
                <w:sz w:val="15"/>
              </w:rPr>
              <w:t>network</w:t>
            </w:r>
          </w:p>
        </w:tc>
        <w:tc>
          <w:tcPr>
            <w:tcW w:type="dxa" w:w="1728"/>
            <w:shd w:fill="0F1B3D"/>
            <w:vAlign w:val="center"/>
          </w:tcPr>
          <w:p>
            <w:pPr>
              <w:jc w:val="center"/>
            </w:pPr>
            <w:r>
              <w:rPr>
                <w:rFonts w:ascii="Inter" w:hAnsi="Inter"/>
                <w:b/>
                <w:color w:val="FFFFFF"/>
                <w:sz w:val="15"/>
              </w:rPr>
              <w:t>post_id</w:t>
            </w:r>
          </w:p>
        </w:tc>
        <w:tc>
          <w:tcPr>
            <w:tcW w:type="dxa" w:w="2160"/>
            <w:shd w:fill="0F1B3D"/>
            <w:vAlign w:val="center"/>
          </w:tcPr>
          <w:p>
            <w:pPr>
              <w:jc w:val="center"/>
            </w:pPr>
            <w:r>
              <w:rPr>
                <w:rFonts w:ascii="Inter" w:hAnsi="Inter"/>
                <w:b/>
                <w:color w:val="FFFFFF"/>
                <w:sz w:val="15"/>
              </w:rPr>
              <w:t>published_at</w:t>
            </w:r>
          </w:p>
        </w:tc>
        <w:tc>
          <w:tcPr>
            <w:tcW w:type="dxa" w:w="1872"/>
            <w:shd w:fill="0F1B3D"/>
            <w:vAlign w:val="center"/>
          </w:tcPr>
          <w:p>
            <w:pPr>
              <w:jc w:val="center"/>
            </w:pPr>
            <w:r>
              <w:rPr>
                <w:rFonts w:ascii="Inter" w:hAnsi="Inter"/>
                <w:b/>
                <w:color w:val="FFFFFF"/>
                <w:sz w:val="15"/>
              </w:rPr>
              <w:t>url</w:t>
            </w:r>
          </w:p>
        </w:tc>
      </w:tr>
      <w:tr>
        <w:trPr>
          <w:cantSplit/>
        </w:trPr>
        <w:tc>
          <w:tcPr>
            <w:tcW w:type="dxa" w:w="2160"/>
            <w:vAlign w:val="top"/>
            <w:shd w:fill="F8FAFC"/>
          </w:tcPr>
          <w:p>
            <w:r>
              <w:rPr>
                <w:rFonts w:ascii="Inter" w:hAnsi="Inter"/>
                <w:b w:val="0"/>
                <w:color w:val="0F1B3D"/>
                <w:sz w:val="15"/>
              </w:rPr>
              <w:t>EQ-0907-01</w:t>
            </w:r>
          </w:p>
        </w:tc>
        <w:tc>
          <w:tcPr>
            <w:tcW w:type="dxa" w:w="1872"/>
            <w:vAlign w:val="top"/>
            <w:shd w:fill="F8FAFC"/>
          </w:tcPr>
          <w:p>
            <w:r>
              <w:rPr>
                <w:rFonts w:ascii="Inter" w:hAnsi="Inter"/>
                <w:b w:val="0"/>
                <w:color w:val="0F1B3D"/>
                <w:sz w:val="15"/>
              </w:rPr>
              <w:t>LinkedIn</w:t>
            </w:r>
          </w:p>
        </w:tc>
        <w:tc>
          <w:tcPr>
            <w:tcW w:type="dxa" w:w="1728"/>
            <w:vAlign w:val="top"/>
            <w:shd w:fill="F8FAFC"/>
          </w:tcPr>
          <w:p>
            <w:r>
              <w:rPr>
                <w:rFonts w:ascii="Inter" w:hAnsi="Inter"/>
                <w:b w:val="0"/>
                <w:color w:val="0F1B3D"/>
                <w:sz w:val="15"/>
              </w:rPr>
              <w:t>…</w:t>
            </w:r>
          </w:p>
        </w:tc>
        <w:tc>
          <w:tcPr>
            <w:tcW w:type="dxa" w:w="2160"/>
            <w:vAlign w:val="top"/>
            <w:shd w:fill="F8FAFC"/>
          </w:tcPr>
          <w:p>
            <w:r>
              <w:rPr>
                <w:rFonts w:ascii="Inter" w:hAnsi="Inter"/>
                <w:b w:val="0"/>
                <w:color w:val="0F1B3D"/>
                <w:sz w:val="15"/>
              </w:rPr>
              <w:t>07/09/2026</w:t>
            </w:r>
          </w:p>
        </w:tc>
        <w:tc>
          <w:tcPr>
            <w:tcW w:type="dxa" w:w="1872"/>
            <w:vAlign w:val="top"/>
            <w:shd w:fill="F8FAFC"/>
          </w:tcPr>
          <w:p>
            <w:r>
              <w:rPr>
                <w:rFonts w:ascii="Inter" w:hAnsi="Inter"/>
                <w:b w:val="0"/>
                <w:color w:val="0F1B3D"/>
                <w:sz w:val="15"/>
              </w:rPr>
              <w:t>…</w:t>
            </w:r>
          </w:p>
        </w:tc>
      </w:tr>
      <w:tr>
        <w:trPr>
          <w:cantSplit/>
        </w:trPr>
        <w:tc>
          <w:tcPr>
            <w:tcW w:type="dxa" w:w="2160"/>
            <w:vAlign w:val="top"/>
          </w:tcPr>
          <w:p>
            <w:r>
              <w:rPr>
                <w:rFonts w:ascii="Inter" w:hAnsi="Inter"/>
                <w:b w:val="0"/>
                <w:color w:val="0F1B3D"/>
                <w:sz w:val="15"/>
              </w:rPr>
              <w:t>EQ-0907-01</w:t>
            </w:r>
          </w:p>
        </w:tc>
        <w:tc>
          <w:tcPr>
            <w:tcW w:type="dxa" w:w="1872"/>
            <w:vAlign w:val="top"/>
          </w:tcPr>
          <w:p>
            <w:r>
              <w:rPr>
                <w:rFonts w:ascii="Inter" w:hAnsi="Inter"/>
                <w:b w:val="0"/>
                <w:color w:val="0F1B3D"/>
                <w:sz w:val="15"/>
              </w:rPr>
              <w:t>Instagram</w:t>
            </w:r>
          </w:p>
        </w:tc>
        <w:tc>
          <w:tcPr>
            <w:tcW w:type="dxa" w:w="1728"/>
            <w:vAlign w:val="top"/>
          </w:tcPr>
          <w:p>
            <w:r>
              <w:rPr>
                <w:rFonts w:ascii="Inter" w:hAnsi="Inter"/>
                <w:b w:val="0"/>
                <w:color w:val="0F1B3D"/>
                <w:sz w:val="15"/>
              </w:rPr>
              <w:t>…</w:t>
            </w:r>
          </w:p>
        </w:tc>
        <w:tc>
          <w:tcPr>
            <w:tcW w:type="dxa" w:w="2160"/>
            <w:vAlign w:val="top"/>
          </w:tcPr>
          <w:p>
            <w:r>
              <w:rPr>
                <w:rFonts w:ascii="Inter" w:hAnsi="Inter"/>
                <w:b w:val="0"/>
                <w:color w:val="0F1B3D"/>
                <w:sz w:val="15"/>
              </w:rPr>
              <w:t>07/09/2026</w:t>
            </w:r>
          </w:p>
        </w:tc>
        <w:tc>
          <w:tcPr>
            <w:tcW w:type="dxa" w:w="1872"/>
            <w:vAlign w:val="top"/>
          </w:tcPr>
          <w:p>
            <w:r>
              <w:rPr>
                <w:rFonts w:ascii="Inter" w:hAnsi="Inter"/>
                <w:b w:val="0"/>
                <w:color w:val="0F1B3D"/>
                <w:sz w:val="15"/>
              </w:rPr>
              <w:t>…</w:t>
            </w:r>
          </w:p>
        </w:tc>
      </w:tr>
      <w:tr>
        <w:trPr>
          <w:cantSplit/>
        </w:trPr>
        <w:tc>
          <w:tcPr>
            <w:tcW w:type="dxa" w:w="2160"/>
            <w:vAlign w:val="top"/>
            <w:shd w:fill="F8FAFC"/>
          </w:tcPr>
          <w:p>
            <w:r>
              <w:rPr>
                <w:rFonts w:ascii="Inter" w:hAnsi="Inter"/>
                <w:b w:val="0"/>
                <w:color w:val="0F1B3D"/>
                <w:sz w:val="15"/>
              </w:rPr>
              <w:t>EQ-0907-01</w:t>
            </w:r>
          </w:p>
        </w:tc>
        <w:tc>
          <w:tcPr>
            <w:tcW w:type="dxa" w:w="1872"/>
            <w:vAlign w:val="top"/>
            <w:shd w:fill="F8FAFC"/>
          </w:tcPr>
          <w:p>
            <w:r>
              <w:rPr>
                <w:rFonts w:ascii="Inter" w:hAnsi="Inter"/>
                <w:b w:val="0"/>
                <w:color w:val="0F1B3D"/>
                <w:sz w:val="15"/>
              </w:rPr>
              <w:t>Facebook</w:t>
            </w:r>
          </w:p>
        </w:tc>
        <w:tc>
          <w:tcPr>
            <w:tcW w:type="dxa" w:w="1728"/>
            <w:vAlign w:val="top"/>
            <w:shd w:fill="F8FAFC"/>
          </w:tcPr>
          <w:p>
            <w:r>
              <w:rPr>
                <w:rFonts w:ascii="Inter" w:hAnsi="Inter"/>
                <w:b w:val="0"/>
                <w:color w:val="0F1B3D"/>
                <w:sz w:val="15"/>
              </w:rPr>
              <w:t>…</w:t>
            </w:r>
          </w:p>
        </w:tc>
        <w:tc>
          <w:tcPr>
            <w:tcW w:type="dxa" w:w="2160"/>
            <w:vAlign w:val="top"/>
            <w:shd w:fill="F8FAFC"/>
          </w:tcPr>
          <w:p>
            <w:r>
              <w:rPr>
                <w:rFonts w:ascii="Inter" w:hAnsi="Inter"/>
                <w:b w:val="0"/>
                <w:color w:val="0F1B3D"/>
                <w:sz w:val="15"/>
              </w:rPr>
              <w:t>07/09/2026</w:t>
            </w:r>
          </w:p>
        </w:tc>
        <w:tc>
          <w:tcPr>
            <w:tcW w:type="dxa" w:w="1872"/>
            <w:vAlign w:val="top"/>
            <w:shd w:fill="F8FAFC"/>
          </w:tcPr>
          <w:p>
            <w:r>
              <w:rPr>
                <w:rFonts w:ascii="Inter" w:hAnsi="Inter"/>
                <w:b w:val="0"/>
                <w:color w:val="0F1B3D"/>
                <w:sz w:val="15"/>
              </w:rPr>
              <w:t>…</w:t>
            </w:r>
          </w:p>
        </w:tc>
      </w:tr>
    </w:tbl>
    <w:p>
      <w:pPr>
        <w:spacing w:after="40"/>
      </w:pPr>
    </w:p>
    <w:p>
      <w:pPr>
        <w:pStyle w:val="Heading1"/>
      </w:pPr>
      <w:r>
        <w:t>6. Opportunity Posts</w:t>
      </w:r>
    </w:p>
    <w:p>
      <w:r>
        <w:rPr>
          <w:rFonts w:ascii="Inter" w:hAnsi="Inter"/>
          <w:color w:val="0F1B3D"/>
        </w:rPr>
        <w:t>Avant publication, vérifier le statut actuel de l’annonce. Si elle est vendue, expirée, en brouillon, désactivée ou devenue confidentielle : annuler la diffusion.</w:t>
      </w:r>
    </w:p>
    <w:p>
      <w:r>
        <w:rPr>
          <w:rFonts w:ascii="Inter" w:hAnsi="Inter"/>
          <w:color w:val="0F1B3D"/>
        </w:rPr>
        <w:t>Limiter par exemple les DEAL posts à 2 par semaine. Le moteur peut sélectionner selon complétude, qualité visuelle, trust level, diversité sectorielle, diversité géographique et fraîcheur.</w:t>
      </w:r>
    </w:p>
    <w:p>
      <w:pPr>
        <w:pStyle w:val="Heading1"/>
      </w:pPr>
      <w:r>
        <w:t>7. Collecte des performances</w:t>
      </w:r>
    </w:p>
    <w:p>
      <w:r>
        <w:rPr>
          <w:rFonts w:ascii="Inter" w:hAnsi="Inter"/>
          <w:color w:val="0F1B3D"/>
        </w:rPr>
        <w:t>Récupérer les métriques à 24 h, 72 h et 7 jours lorsque les plateformes les rendent disponibles.</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2880"/>
            <w:shd w:fill="0F1B3D"/>
            <w:vAlign w:val="center"/>
          </w:tcPr>
          <w:p>
            <w:pPr>
              <w:jc w:val="center"/>
            </w:pPr>
            <w:r>
              <w:rPr>
                <w:rFonts w:ascii="Inter" w:hAnsi="Inter"/>
                <w:b/>
                <w:color w:val="FFFFFF"/>
                <w:sz w:val="16"/>
              </w:rPr>
              <w:t>Niveau</w:t>
            </w:r>
          </w:p>
        </w:tc>
        <w:tc>
          <w:tcPr>
            <w:tcW w:type="dxa" w:w="6912"/>
            <w:shd w:fill="0F1B3D"/>
            <w:vAlign w:val="center"/>
          </w:tcPr>
          <w:p>
            <w:pPr>
              <w:jc w:val="center"/>
            </w:pPr>
            <w:r>
              <w:rPr>
                <w:rFonts w:ascii="Inter" w:hAnsi="Inter"/>
                <w:b/>
                <w:color w:val="FFFFFF"/>
                <w:sz w:val="16"/>
              </w:rPr>
              <w:t>Métriques</w:t>
            </w:r>
          </w:p>
        </w:tc>
      </w:tr>
      <w:tr>
        <w:trPr>
          <w:cantSplit/>
        </w:trPr>
        <w:tc>
          <w:tcPr>
            <w:tcW w:type="dxa" w:w="2880"/>
            <w:vAlign w:val="top"/>
            <w:shd w:fill="F8FAFC"/>
          </w:tcPr>
          <w:p>
            <w:r>
              <w:rPr>
                <w:rFonts w:ascii="Inter" w:hAnsi="Inter"/>
                <w:b w:val="0"/>
                <w:color w:val="0F1B3D"/>
                <w:sz w:val="16"/>
              </w:rPr>
              <w:t>Content Performance</w:t>
            </w:r>
          </w:p>
        </w:tc>
        <w:tc>
          <w:tcPr>
            <w:tcW w:type="dxa" w:w="6912"/>
            <w:vAlign w:val="top"/>
            <w:shd w:fill="F8FAFC"/>
          </w:tcPr>
          <w:p>
            <w:r>
              <w:rPr>
                <w:rFonts w:ascii="Inter" w:hAnsi="Inter"/>
                <w:b w:val="0"/>
                <w:color w:val="0F1B3D"/>
                <w:sz w:val="16"/>
              </w:rPr>
              <w:t>Impressions, reach, likes, commentaires, partages, saves, vues vidéo.</w:t>
            </w:r>
          </w:p>
        </w:tc>
      </w:tr>
      <w:tr>
        <w:trPr>
          <w:cantSplit/>
        </w:trPr>
        <w:tc>
          <w:tcPr>
            <w:tcW w:type="dxa" w:w="2880"/>
            <w:vAlign w:val="top"/>
          </w:tcPr>
          <w:p>
            <w:r>
              <w:rPr>
                <w:rFonts w:ascii="Inter" w:hAnsi="Inter"/>
                <w:b w:val="0"/>
                <w:color w:val="0F1B3D"/>
                <w:sz w:val="16"/>
              </w:rPr>
              <w:t>Traffic Performance</w:t>
            </w:r>
          </w:p>
        </w:tc>
        <w:tc>
          <w:tcPr>
            <w:tcW w:type="dxa" w:w="6912"/>
            <w:vAlign w:val="top"/>
          </w:tcPr>
          <w:p>
            <w:r>
              <w:rPr>
                <w:rFonts w:ascii="Inter" w:hAnsi="Inter"/>
                <w:b w:val="0"/>
                <w:color w:val="0F1B3D"/>
                <w:sz w:val="16"/>
              </w:rPr>
              <w:t>Clics, sessions, sessions engagées, inscriptions.</w:t>
            </w:r>
          </w:p>
        </w:tc>
      </w:tr>
      <w:tr>
        <w:trPr>
          <w:cantSplit/>
        </w:trPr>
        <w:tc>
          <w:tcPr>
            <w:tcW w:type="dxa" w:w="2880"/>
            <w:vAlign w:val="top"/>
            <w:shd w:fill="F8FAFC"/>
          </w:tcPr>
          <w:p>
            <w:r>
              <w:rPr>
                <w:rFonts w:ascii="Inter" w:hAnsi="Inter"/>
                <w:b w:val="0"/>
                <w:color w:val="0F1B3D"/>
                <w:sz w:val="16"/>
              </w:rPr>
              <w:t>Business Performance</w:t>
            </w:r>
          </w:p>
        </w:tc>
        <w:tc>
          <w:tcPr>
            <w:tcW w:type="dxa" w:w="6912"/>
            <w:vAlign w:val="top"/>
            <w:shd w:fill="F8FAFC"/>
          </w:tcPr>
          <w:p>
            <w:r>
              <w:rPr>
                <w:rFonts w:ascii="Inter" w:hAnsi="Inter"/>
                <w:b w:val="0"/>
                <w:color w:val="0F1B3D"/>
                <w:sz w:val="16"/>
              </w:rPr>
              <w:t>Listings started/published, unlocks, NDA, Data Rooms, offres, LOI, abonnements.</w:t>
            </w:r>
          </w:p>
        </w:tc>
      </w:tr>
    </w:tbl>
    <w:p>
      <w:pPr>
        <w:spacing w:after="40"/>
      </w:pPr>
    </w:p>
    <w:p>
      <w:pPr>
        <w:pStyle w:val="Heading1"/>
      </w:pPr>
      <w:r>
        <w:t>8. Performance Score equirs</w:t>
      </w:r>
    </w:p>
    <w:p>
      <w:r>
        <w:rPr>
          <w:rFonts w:ascii="Inter" w:hAnsi="Inter"/>
          <w:color w:val="0F1B3D"/>
        </w:rPr>
        <w:t>Créer un score analytique interne, ajustable, qui privilégie les actions métier plutôt que les vanity metrics.</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5760"/>
            <w:shd w:fill="0F1B3D"/>
            <w:vAlign w:val="center"/>
          </w:tcPr>
          <w:p>
            <w:pPr>
              <w:jc w:val="center"/>
            </w:pPr>
            <w:r>
              <w:rPr>
                <w:rFonts w:ascii="Inter" w:hAnsi="Inter"/>
                <w:b/>
                <w:color w:val="FFFFFF"/>
                <w:sz w:val="16"/>
              </w:rPr>
              <w:t>Action</w:t>
            </w:r>
          </w:p>
        </w:tc>
        <w:tc>
          <w:tcPr>
            <w:tcW w:type="dxa" w:w="3744"/>
            <w:shd w:fill="0F1B3D"/>
            <w:vAlign w:val="center"/>
          </w:tcPr>
          <w:p>
            <w:pPr>
              <w:jc w:val="center"/>
            </w:pPr>
            <w:r>
              <w:rPr>
                <w:rFonts w:ascii="Inter" w:hAnsi="Inter"/>
                <w:b/>
                <w:color w:val="FFFFFF"/>
                <w:sz w:val="16"/>
              </w:rPr>
              <w:t>Poids exemple</w:t>
            </w:r>
          </w:p>
        </w:tc>
      </w:tr>
      <w:tr>
        <w:trPr>
          <w:cantSplit/>
        </w:trPr>
        <w:tc>
          <w:tcPr>
            <w:tcW w:type="dxa" w:w="5760"/>
            <w:vAlign w:val="top"/>
            <w:shd w:fill="F8FAFC"/>
          </w:tcPr>
          <w:p>
            <w:r>
              <w:rPr>
                <w:rFonts w:ascii="Inter" w:hAnsi="Inter"/>
                <w:b w:val="0"/>
                <w:color w:val="0F1B3D"/>
                <w:sz w:val="16"/>
              </w:rPr>
              <w:t>Engagement</w:t>
            </w:r>
          </w:p>
        </w:tc>
        <w:tc>
          <w:tcPr>
            <w:tcW w:type="dxa" w:w="3744"/>
            <w:vAlign w:val="top"/>
            <w:shd w:fill="F8FAFC"/>
          </w:tcPr>
          <w:p>
            <w:r>
              <w:rPr>
                <w:rFonts w:ascii="Inter" w:hAnsi="Inter"/>
                <w:b w:val="0"/>
                <w:color w:val="0F1B3D"/>
                <w:sz w:val="16"/>
              </w:rPr>
              <w:t>×1</w:t>
            </w:r>
          </w:p>
        </w:tc>
      </w:tr>
      <w:tr>
        <w:trPr>
          <w:cantSplit/>
        </w:trPr>
        <w:tc>
          <w:tcPr>
            <w:tcW w:type="dxa" w:w="5760"/>
            <w:vAlign w:val="top"/>
          </w:tcPr>
          <w:p>
            <w:r>
              <w:rPr>
                <w:rFonts w:ascii="Inter" w:hAnsi="Inter"/>
                <w:b w:val="0"/>
                <w:color w:val="0F1B3D"/>
                <w:sz w:val="16"/>
              </w:rPr>
              <w:t>Click</w:t>
            </w:r>
          </w:p>
        </w:tc>
        <w:tc>
          <w:tcPr>
            <w:tcW w:type="dxa" w:w="3744"/>
            <w:vAlign w:val="top"/>
          </w:tcPr>
          <w:p>
            <w:r>
              <w:rPr>
                <w:rFonts w:ascii="Inter" w:hAnsi="Inter"/>
                <w:b w:val="0"/>
                <w:color w:val="0F1B3D"/>
                <w:sz w:val="16"/>
              </w:rPr>
              <w:t>×2</w:t>
            </w:r>
          </w:p>
        </w:tc>
      </w:tr>
      <w:tr>
        <w:trPr>
          <w:cantSplit/>
        </w:trPr>
        <w:tc>
          <w:tcPr>
            <w:tcW w:type="dxa" w:w="5760"/>
            <w:vAlign w:val="top"/>
            <w:shd w:fill="F8FAFC"/>
          </w:tcPr>
          <w:p>
            <w:r>
              <w:rPr>
                <w:rFonts w:ascii="Inter" w:hAnsi="Inter"/>
                <w:b w:val="0"/>
                <w:color w:val="0F1B3D"/>
                <w:sz w:val="16"/>
              </w:rPr>
              <w:t>Registration</w:t>
            </w:r>
          </w:p>
        </w:tc>
        <w:tc>
          <w:tcPr>
            <w:tcW w:type="dxa" w:w="3744"/>
            <w:vAlign w:val="top"/>
            <w:shd w:fill="F8FAFC"/>
          </w:tcPr>
          <w:p>
            <w:r>
              <w:rPr>
                <w:rFonts w:ascii="Inter" w:hAnsi="Inter"/>
                <w:b w:val="0"/>
                <w:color w:val="0F1B3D"/>
                <w:sz w:val="16"/>
              </w:rPr>
              <w:t>×5</w:t>
            </w:r>
          </w:p>
        </w:tc>
      </w:tr>
      <w:tr>
        <w:trPr>
          <w:cantSplit/>
        </w:trPr>
        <w:tc>
          <w:tcPr>
            <w:tcW w:type="dxa" w:w="5760"/>
            <w:vAlign w:val="top"/>
          </w:tcPr>
          <w:p>
            <w:r>
              <w:rPr>
                <w:rFonts w:ascii="Inter" w:hAnsi="Inter"/>
                <w:b w:val="0"/>
                <w:color w:val="0F1B3D"/>
                <w:sz w:val="16"/>
              </w:rPr>
              <w:t>Listing started</w:t>
            </w:r>
          </w:p>
        </w:tc>
        <w:tc>
          <w:tcPr>
            <w:tcW w:type="dxa" w:w="3744"/>
            <w:vAlign w:val="top"/>
          </w:tcPr>
          <w:p>
            <w:r>
              <w:rPr>
                <w:rFonts w:ascii="Inter" w:hAnsi="Inter"/>
                <w:b w:val="0"/>
                <w:color w:val="0F1B3D"/>
                <w:sz w:val="16"/>
              </w:rPr>
              <w:t>×10</w:t>
            </w:r>
          </w:p>
        </w:tc>
      </w:tr>
      <w:tr>
        <w:trPr>
          <w:cantSplit/>
        </w:trPr>
        <w:tc>
          <w:tcPr>
            <w:tcW w:type="dxa" w:w="5760"/>
            <w:vAlign w:val="top"/>
            <w:shd w:fill="F8FAFC"/>
          </w:tcPr>
          <w:p>
            <w:r>
              <w:rPr>
                <w:rFonts w:ascii="Inter" w:hAnsi="Inter"/>
                <w:b w:val="0"/>
                <w:color w:val="0F1B3D"/>
                <w:sz w:val="16"/>
              </w:rPr>
              <w:t>Listing published</w:t>
            </w:r>
          </w:p>
        </w:tc>
        <w:tc>
          <w:tcPr>
            <w:tcW w:type="dxa" w:w="3744"/>
            <w:vAlign w:val="top"/>
            <w:shd w:fill="F8FAFC"/>
          </w:tcPr>
          <w:p>
            <w:r>
              <w:rPr>
                <w:rFonts w:ascii="Inter" w:hAnsi="Inter"/>
                <w:b w:val="0"/>
                <w:color w:val="0F1B3D"/>
                <w:sz w:val="16"/>
              </w:rPr>
              <w:t>×25</w:t>
            </w:r>
          </w:p>
        </w:tc>
      </w:tr>
      <w:tr>
        <w:trPr>
          <w:cantSplit/>
        </w:trPr>
        <w:tc>
          <w:tcPr>
            <w:tcW w:type="dxa" w:w="5760"/>
            <w:vAlign w:val="top"/>
          </w:tcPr>
          <w:p>
            <w:r>
              <w:rPr>
                <w:rFonts w:ascii="Inter" w:hAnsi="Inter"/>
                <w:b w:val="0"/>
                <w:color w:val="0F1B3D"/>
                <w:sz w:val="16"/>
              </w:rPr>
              <w:t>Unlock</w:t>
            </w:r>
          </w:p>
        </w:tc>
        <w:tc>
          <w:tcPr>
            <w:tcW w:type="dxa" w:w="3744"/>
            <w:vAlign w:val="top"/>
          </w:tcPr>
          <w:p>
            <w:r>
              <w:rPr>
                <w:rFonts w:ascii="Inter" w:hAnsi="Inter"/>
                <w:b w:val="0"/>
                <w:color w:val="0F1B3D"/>
                <w:sz w:val="16"/>
              </w:rPr>
              <w:t>×10</w:t>
            </w:r>
          </w:p>
        </w:tc>
      </w:tr>
      <w:tr>
        <w:trPr>
          <w:cantSplit/>
        </w:trPr>
        <w:tc>
          <w:tcPr>
            <w:tcW w:type="dxa" w:w="5760"/>
            <w:vAlign w:val="top"/>
            <w:shd w:fill="F8FAFC"/>
          </w:tcPr>
          <w:p>
            <w:r>
              <w:rPr>
                <w:rFonts w:ascii="Inter" w:hAnsi="Inter"/>
                <w:b w:val="0"/>
                <w:color w:val="0F1B3D"/>
                <w:sz w:val="16"/>
              </w:rPr>
              <w:t>NDA</w:t>
            </w:r>
          </w:p>
        </w:tc>
        <w:tc>
          <w:tcPr>
            <w:tcW w:type="dxa" w:w="3744"/>
            <w:vAlign w:val="top"/>
            <w:shd w:fill="F8FAFC"/>
          </w:tcPr>
          <w:p>
            <w:r>
              <w:rPr>
                <w:rFonts w:ascii="Inter" w:hAnsi="Inter"/>
                <w:b w:val="0"/>
                <w:color w:val="0F1B3D"/>
                <w:sz w:val="16"/>
              </w:rPr>
              <w:t>×20</w:t>
            </w:r>
          </w:p>
        </w:tc>
      </w:tr>
      <w:tr>
        <w:trPr>
          <w:cantSplit/>
        </w:trPr>
        <w:tc>
          <w:tcPr>
            <w:tcW w:type="dxa" w:w="5760"/>
            <w:vAlign w:val="top"/>
          </w:tcPr>
          <w:p>
            <w:r>
              <w:rPr>
                <w:rFonts w:ascii="Inter" w:hAnsi="Inter"/>
                <w:b w:val="0"/>
                <w:color w:val="0F1B3D"/>
                <w:sz w:val="16"/>
              </w:rPr>
              <w:t>Offer</w:t>
            </w:r>
          </w:p>
        </w:tc>
        <w:tc>
          <w:tcPr>
            <w:tcW w:type="dxa" w:w="3744"/>
            <w:vAlign w:val="top"/>
          </w:tcPr>
          <w:p>
            <w:r>
              <w:rPr>
                <w:rFonts w:ascii="Inter" w:hAnsi="Inter"/>
                <w:b w:val="0"/>
                <w:color w:val="0F1B3D"/>
                <w:sz w:val="16"/>
              </w:rPr>
              <w:t>×40</w:t>
            </w:r>
          </w:p>
        </w:tc>
      </w:tr>
      <w:tr>
        <w:trPr>
          <w:cantSplit/>
        </w:trPr>
        <w:tc>
          <w:tcPr>
            <w:tcW w:type="dxa" w:w="5760"/>
            <w:vAlign w:val="top"/>
            <w:shd w:fill="F8FAFC"/>
          </w:tcPr>
          <w:p>
            <w:r>
              <w:rPr>
                <w:rFonts w:ascii="Inter" w:hAnsi="Inter"/>
                <w:b w:val="0"/>
                <w:color w:val="0F1B3D"/>
                <w:sz w:val="16"/>
              </w:rPr>
              <w:t>LOI</w:t>
            </w:r>
          </w:p>
        </w:tc>
        <w:tc>
          <w:tcPr>
            <w:tcW w:type="dxa" w:w="3744"/>
            <w:vAlign w:val="top"/>
            <w:shd w:fill="F8FAFC"/>
          </w:tcPr>
          <w:p>
            <w:r>
              <w:rPr>
                <w:rFonts w:ascii="Inter" w:hAnsi="Inter"/>
                <w:b w:val="0"/>
                <w:color w:val="0F1B3D"/>
                <w:sz w:val="16"/>
              </w:rPr>
              <w:t>×100</w:t>
            </w:r>
          </w:p>
        </w:tc>
      </w:tr>
    </w:tbl>
    <w:p>
      <w:pPr>
        <w:spacing w:after="40"/>
      </w:pPr>
    </w:p>
    <w:p>
      <w:r>
        <w:rPr>
          <w:rFonts w:ascii="Inter" w:hAnsi="Inter"/>
          <w:color w:val="0F1B3D"/>
        </w:rPr>
        <w:t>Prévoir deux scores : Seller Content Score (start/publish/verification) et Buyer Content Score (registration/unlock/NDA/offer).</w:t>
      </w:r>
    </w:p>
    <w:p>
      <w:pPr>
        <w:pStyle w:val="Heading1"/>
      </w:pPr>
      <w:r>
        <w:t>9. Attribution</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3600"/>
            <w:shd w:fill="0F1B3D"/>
            <w:vAlign w:val="center"/>
          </w:tcPr>
          <w:p>
            <w:pPr>
              <w:jc w:val="center"/>
            </w:pPr>
            <w:r>
              <w:rPr>
                <w:rFonts w:ascii="Inter" w:hAnsi="Inter"/>
                <w:b/>
                <w:color w:val="FFFFFF"/>
                <w:sz w:val="16"/>
              </w:rPr>
              <w:t>Dimension</w:t>
            </w:r>
          </w:p>
        </w:tc>
        <w:tc>
          <w:tcPr>
            <w:tcW w:type="dxa" w:w="6192"/>
            <w:shd w:fill="0F1B3D"/>
            <w:vAlign w:val="center"/>
          </w:tcPr>
          <w:p>
            <w:pPr>
              <w:jc w:val="center"/>
            </w:pPr>
            <w:r>
              <w:rPr>
                <w:rFonts w:ascii="Inter" w:hAnsi="Inter"/>
                <w:b/>
                <w:color w:val="FFFFFF"/>
                <w:sz w:val="16"/>
              </w:rPr>
              <w:t>Usage</w:t>
            </w:r>
          </w:p>
        </w:tc>
      </w:tr>
      <w:tr>
        <w:trPr>
          <w:cantSplit/>
        </w:trPr>
        <w:tc>
          <w:tcPr>
            <w:tcW w:type="dxa" w:w="3600"/>
            <w:vAlign w:val="top"/>
            <w:shd w:fill="F8FAFC"/>
          </w:tcPr>
          <w:p>
            <w:r>
              <w:rPr>
                <w:rFonts w:ascii="Inter" w:hAnsi="Inter"/>
                <w:b w:val="0"/>
                <w:color w:val="0F1B3D"/>
                <w:sz w:val="16"/>
              </w:rPr>
              <w:t>First touch</w:t>
            </w:r>
          </w:p>
        </w:tc>
        <w:tc>
          <w:tcPr>
            <w:tcW w:type="dxa" w:w="6192"/>
            <w:vAlign w:val="top"/>
            <w:shd w:fill="F8FAFC"/>
          </w:tcPr>
          <w:p>
            <w:r>
              <w:rPr>
                <w:rFonts w:ascii="Inter" w:hAnsi="Inter"/>
                <w:b w:val="0"/>
                <w:color w:val="0F1B3D"/>
                <w:sz w:val="16"/>
              </w:rPr>
              <w:t>Quel contenu / canal a créé la découverte ?</w:t>
            </w:r>
          </w:p>
        </w:tc>
      </w:tr>
      <w:tr>
        <w:trPr>
          <w:cantSplit/>
        </w:trPr>
        <w:tc>
          <w:tcPr>
            <w:tcW w:type="dxa" w:w="3600"/>
            <w:vAlign w:val="top"/>
          </w:tcPr>
          <w:p>
            <w:r>
              <w:rPr>
                <w:rFonts w:ascii="Inter" w:hAnsi="Inter"/>
                <w:b w:val="0"/>
                <w:color w:val="0F1B3D"/>
                <w:sz w:val="16"/>
              </w:rPr>
              <w:t>Last touch</w:t>
            </w:r>
          </w:p>
        </w:tc>
        <w:tc>
          <w:tcPr>
            <w:tcW w:type="dxa" w:w="6192"/>
            <w:vAlign w:val="top"/>
          </w:tcPr>
          <w:p>
            <w:r>
              <w:rPr>
                <w:rFonts w:ascii="Inter" w:hAnsi="Inter"/>
                <w:b w:val="0"/>
                <w:color w:val="0F1B3D"/>
                <w:sz w:val="16"/>
              </w:rPr>
              <w:t>Quel canal a terminé la conversion ?</w:t>
            </w:r>
          </w:p>
        </w:tc>
      </w:tr>
    </w:tbl>
    <w:p>
      <w:pPr>
        <w:spacing w:after="40"/>
      </w:pPr>
    </w:p>
    <w:p>
      <w:pPr>
        <w:pStyle w:val="ListBullet"/>
      </w:pPr>
      <w:r>
        <w:rPr>
          <w:rFonts w:ascii="Inter" w:hAnsi="Inter"/>
        </w:rPr>
        <w:t>first_source</w:t>
      </w:r>
    </w:p>
    <w:p>
      <w:pPr>
        <w:pStyle w:val="ListBullet"/>
      </w:pPr>
      <w:r>
        <w:rPr>
          <w:rFonts w:ascii="Inter" w:hAnsi="Inter"/>
        </w:rPr>
        <w:t>first_medium</w:t>
      </w:r>
    </w:p>
    <w:p>
      <w:pPr>
        <w:pStyle w:val="ListBullet"/>
      </w:pPr>
      <w:r>
        <w:rPr>
          <w:rFonts w:ascii="Inter" w:hAnsi="Inter"/>
        </w:rPr>
        <w:t>first_campaign</w:t>
      </w:r>
    </w:p>
    <w:p>
      <w:pPr>
        <w:pStyle w:val="ListBullet"/>
      </w:pPr>
      <w:r>
        <w:rPr>
          <w:rFonts w:ascii="Inter" w:hAnsi="Inter"/>
        </w:rPr>
        <w:t>first_content</w:t>
      </w:r>
    </w:p>
    <w:p>
      <w:pPr>
        <w:pStyle w:val="ListBullet"/>
      </w:pPr>
      <w:r>
        <w:rPr>
          <w:rFonts w:ascii="Inter" w:hAnsi="Inter"/>
        </w:rPr>
        <w:t>last_source</w:t>
      </w:r>
    </w:p>
    <w:p>
      <w:pPr>
        <w:pStyle w:val="ListBullet"/>
      </w:pPr>
      <w:r>
        <w:rPr>
          <w:rFonts w:ascii="Inter" w:hAnsi="Inter"/>
        </w:rPr>
        <w:t>last_medium</w:t>
      </w:r>
    </w:p>
    <w:p>
      <w:pPr>
        <w:pStyle w:val="ListBullet"/>
      </w:pPr>
      <w:r>
        <w:rPr>
          <w:rFonts w:ascii="Inter" w:hAnsi="Inter"/>
        </w:rPr>
        <w:t>last_campaign</w:t>
      </w:r>
    </w:p>
    <w:p>
      <w:pPr>
        <w:pStyle w:val="ListBullet"/>
      </w:pPr>
      <w:r>
        <w:rPr>
          <w:rFonts w:ascii="Inter" w:hAnsi="Inter"/>
        </w:rPr>
        <w:t>last_content</w:t>
      </w:r>
    </w:p>
    <w:p>
      <w:pPr>
        <w:pStyle w:val="Heading1"/>
      </w:pPr>
      <w:r>
        <w:t>10. Dashboards</w:t>
      </w:r>
    </w:p>
    <w:p>
      <w:pPr>
        <w:pStyle w:val="Heading2"/>
      </w:pPr>
      <w:r>
        <w:t>Marketplace Health</w:t>
      </w:r>
    </w:p>
    <w:p>
      <w:pPr>
        <w:pStyle w:val="ListBullet"/>
      </w:pPr>
      <w:r>
        <w:rPr>
          <w:rFonts w:ascii="Inter" w:hAnsi="Inter"/>
        </w:rPr>
        <w:t>Nouvelles annonces</w:t>
      </w:r>
    </w:p>
    <w:p>
      <w:pPr>
        <w:pStyle w:val="ListBullet"/>
      </w:pPr>
      <w:r>
        <w:rPr>
          <w:rFonts w:ascii="Inter" w:hAnsi="Inter"/>
        </w:rPr>
        <w:t>Acheteurs actifs</w:t>
      </w:r>
    </w:p>
    <w:p>
      <w:pPr>
        <w:pStyle w:val="ListBullet"/>
      </w:pPr>
      <w:r>
        <w:rPr>
          <w:rFonts w:ascii="Inter" w:hAnsi="Inter"/>
        </w:rPr>
        <w:t>Déblocages</w:t>
      </w:r>
    </w:p>
    <w:p>
      <w:pPr>
        <w:pStyle w:val="ListBullet"/>
      </w:pPr>
      <w:r>
        <w:rPr>
          <w:rFonts w:ascii="Inter" w:hAnsi="Inter"/>
        </w:rPr>
        <w:t>NDA</w:t>
      </w:r>
    </w:p>
    <w:p>
      <w:pPr>
        <w:pStyle w:val="ListBullet"/>
      </w:pPr>
      <w:r>
        <w:rPr>
          <w:rFonts w:ascii="Inter" w:hAnsi="Inter"/>
        </w:rPr>
        <w:t>Data Rooms</w:t>
      </w:r>
    </w:p>
    <w:p>
      <w:pPr>
        <w:pStyle w:val="ListBullet"/>
      </w:pPr>
      <w:r>
        <w:rPr>
          <w:rFonts w:ascii="Inter" w:hAnsi="Inter"/>
        </w:rPr>
        <w:t>Offres</w:t>
      </w:r>
    </w:p>
    <w:p>
      <w:pPr>
        <w:pStyle w:val="ListBullet"/>
      </w:pPr>
      <w:r>
        <w:rPr>
          <w:rFonts w:ascii="Inter" w:hAnsi="Inter"/>
        </w:rPr>
        <w:t>LOI</w:t>
      </w:r>
    </w:p>
    <w:p>
      <w:pPr>
        <w:pStyle w:val="Heading2"/>
      </w:pPr>
      <w:r>
        <w:t>Dashboard contenu</w:t>
      </w:r>
    </w:p>
    <w:p>
      <w:r>
        <w:rPr>
          <w:rFonts w:ascii="Inter" w:hAnsi="Inter"/>
          <w:color w:val="0F1B3D"/>
        </w:rPr>
        <w:t>Filtres : persona, pilier, format, réseau, CTA, sujet, funnel, campagne. Question type : « Quels contenus valorisation destinés aux cédants génèrent le plus de publications ? »</w:t>
      </w:r>
    </w:p>
    <w:p>
      <w:pPr>
        <w:pStyle w:val="Heading1"/>
      </w:pPr>
      <w:r>
        <w:t>11. AI Marketing Analyst</w:t>
      </w:r>
    </w:p>
    <w:tbl>
      <w:tblPr>
        <w:tblW w:type="auto" w:w="0"/>
        <w:jc w:val="center"/>
        <w:tblLayout w:type="autofit"/>
        <w:tblLook w:firstColumn="1" w:firstRow="1" w:lastColumn="0" w:lastRow="0" w:noHBand="0" w:noVBand="1" w:val="04A0"/>
      </w:tblPr>
      <w:tblGrid>
        <w:gridCol w:w="10080"/>
      </w:tblGrid>
      <w:tr>
        <w:tc>
          <w:tcPr>
            <w:tcW w:type="dxa" w:w="10080"/>
            <w:shd w:fill="F4F6F9"/>
            <w:tcBorders>
              <w:top w:val="single" w:sz="6" w:color="E7EBF1"/>
              <w:left w:val="single" w:sz="6" w:color="E7EBF1"/>
              <w:bottom w:val="single" w:sz="6" w:color="E7EBF1"/>
              <w:right w:val="single" w:sz="6" w:color="E7EBF1"/>
            </w:tcBorders>
          </w:tcPr>
          <w:p>
            <w:r>
              <w:rPr>
                <w:rFonts w:ascii="Inter" w:hAnsi="Inter"/>
                <w:b/>
                <w:color w:val="0F1B3D"/>
                <w:sz w:val="20"/>
              </w:rPr>
              <w:t>Mission</w:t>
            </w:r>
          </w:p>
          <w:p>
            <w:r>
              <w:rPr>
                <w:rFonts w:ascii="Inter" w:hAnsi="Inter"/>
                <w:b w:val="0"/>
                <w:color w:val="0F1B3D"/>
                <w:sz w:val="18"/>
              </w:rPr>
              <w:t>Analyser les performances par persona, sujet, pilier, format, réseau, étape de funnel et CTA. Prioriser les outcomes métier. Identifier : top topics, weak topics, best personas, formats, networks, bottlenecks, contenus à répéter / arrêter, expérimentations et changements du calendrier.</w:t>
            </w:r>
          </w:p>
        </w:tc>
      </w:tr>
    </w:tbl>
    <w:p>
      <w:pPr>
        <w:spacing w:after="20"/>
      </w:pPr>
    </w:p>
    <w:p>
      <w:pPr>
        <w:pStyle w:val="Heading1"/>
      </w:pPr>
      <w:r>
        <w:t>12. Rapport hebdomadaire IA</w:t>
      </w:r>
    </w:p>
    <w:p>
      <w:pPr>
        <w:pStyle w:val="ListBullet"/>
      </w:pPr>
      <w:r>
        <w:rPr>
          <w:rFonts w:ascii="Inter" w:hAnsi="Inter"/>
        </w:rPr>
        <w:t>Executive summary</w:t>
      </w:r>
    </w:p>
    <w:p>
      <w:pPr>
        <w:pStyle w:val="ListBullet"/>
      </w:pPr>
      <w:r>
        <w:rPr>
          <w:rFonts w:ascii="Inter" w:hAnsi="Inter"/>
        </w:rPr>
        <w:t>Best content et pourquoi</w:t>
      </w:r>
    </w:p>
    <w:p>
      <w:pPr>
        <w:pStyle w:val="ListBullet"/>
      </w:pPr>
      <w:r>
        <w:rPr>
          <w:rFonts w:ascii="Inter" w:hAnsi="Inter"/>
        </w:rPr>
        <w:t>Weak content</w:t>
      </w:r>
    </w:p>
    <w:p>
      <w:pPr>
        <w:pStyle w:val="ListBullet"/>
      </w:pPr>
      <w:r>
        <w:rPr>
          <w:rFonts w:ascii="Inter" w:hAnsi="Inter"/>
        </w:rPr>
        <w:t>Bottlenecks</w:t>
      </w:r>
    </w:p>
    <w:p>
      <w:pPr>
        <w:pStyle w:val="ListBullet"/>
      </w:pPr>
      <w:r>
        <w:rPr>
          <w:rFonts w:ascii="Inter" w:hAnsi="Inter"/>
        </w:rPr>
        <w:t>3 décisions maximum pour la semaine suivante</w:t>
      </w:r>
    </w:p>
    <w:p>
      <w:pPr>
        <w:pStyle w:val="Heading1"/>
      </w:pPr>
      <w:r>
        <w:t>13. Optimisation du calendrier</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2880"/>
            <w:shd w:fill="0F1B3D"/>
            <w:vAlign w:val="center"/>
          </w:tcPr>
          <w:p>
            <w:pPr>
              <w:jc w:val="center"/>
            </w:pPr>
            <w:r>
              <w:rPr>
                <w:rFonts w:ascii="Inter" w:hAnsi="Inter"/>
                <w:b/>
                <w:color w:val="FFFFFF"/>
                <w:sz w:val="16"/>
              </w:rPr>
              <w:t>Part</w:t>
            </w:r>
          </w:p>
        </w:tc>
        <w:tc>
          <w:tcPr>
            <w:tcW w:type="dxa" w:w="6624"/>
            <w:shd w:fill="0F1B3D"/>
            <w:vAlign w:val="center"/>
          </w:tcPr>
          <w:p>
            <w:pPr>
              <w:jc w:val="center"/>
            </w:pPr>
            <w:r>
              <w:rPr>
                <w:rFonts w:ascii="Inter" w:hAnsi="Inter"/>
                <w:b/>
                <w:color w:val="FFFFFF"/>
                <w:sz w:val="16"/>
              </w:rPr>
              <w:t>Traitement</w:t>
            </w:r>
          </w:p>
        </w:tc>
      </w:tr>
      <w:tr>
        <w:trPr>
          <w:cantSplit/>
        </w:trPr>
        <w:tc>
          <w:tcPr>
            <w:tcW w:type="dxa" w:w="2880"/>
            <w:vAlign w:val="top"/>
            <w:shd w:fill="F8FAFC"/>
          </w:tcPr>
          <w:p>
            <w:r>
              <w:rPr>
                <w:rFonts w:ascii="Inter" w:hAnsi="Inter"/>
                <w:b w:val="0"/>
                <w:color w:val="0F1B3D"/>
                <w:sz w:val="16"/>
              </w:rPr>
              <w:t>70 %</w:t>
            </w:r>
          </w:p>
        </w:tc>
        <w:tc>
          <w:tcPr>
            <w:tcW w:type="dxa" w:w="6624"/>
            <w:vAlign w:val="top"/>
            <w:shd w:fill="F8FAFC"/>
          </w:tcPr>
          <w:p>
            <w:r>
              <w:rPr>
                <w:rFonts w:ascii="Inter" w:hAnsi="Inter"/>
                <w:b w:val="0"/>
                <w:color w:val="0F1B3D"/>
                <w:sz w:val="16"/>
              </w:rPr>
              <w:t>Reste planifié</w:t>
            </w:r>
          </w:p>
        </w:tc>
      </w:tr>
      <w:tr>
        <w:trPr>
          <w:cantSplit/>
        </w:trPr>
        <w:tc>
          <w:tcPr>
            <w:tcW w:type="dxa" w:w="2880"/>
            <w:vAlign w:val="top"/>
          </w:tcPr>
          <w:p>
            <w:r>
              <w:rPr>
                <w:rFonts w:ascii="Inter" w:hAnsi="Inter"/>
                <w:b w:val="0"/>
                <w:color w:val="0F1B3D"/>
                <w:sz w:val="16"/>
              </w:rPr>
              <w:t>20 %</w:t>
            </w:r>
          </w:p>
        </w:tc>
        <w:tc>
          <w:tcPr>
            <w:tcW w:type="dxa" w:w="6624"/>
            <w:vAlign w:val="top"/>
          </w:tcPr>
          <w:p>
            <w:r>
              <w:rPr>
                <w:rFonts w:ascii="Inter" w:hAnsi="Inter"/>
                <w:b w:val="0"/>
                <w:color w:val="0F1B3D"/>
                <w:sz w:val="16"/>
              </w:rPr>
              <w:t>Modifiable selon performance</w:t>
            </w:r>
          </w:p>
        </w:tc>
      </w:tr>
      <w:tr>
        <w:trPr>
          <w:cantSplit/>
        </w:trPr>
        <w:tc>
          <w:tcPr>
            <w:tcW w:type="dxa" w:w="2880"/>
            <w:vAlign w:val="top"/>
            <w:shd w:fill="F8FAFC"/>
          </w:tcPr>
          <w:p>
            <w:r>
              <w:rPr>
                <w:rFonts w:ascii="Inter" w:hAnsi="Inter"/>
                <w:b w:val="0"/>
                <w:color w:val="0F1B3D"/>
                <w:sz w:val="16"/>
              </w:rPr>
              <w:t>10 %</w:t>
            </w:r>
          </w:p>
        </w:tc>
        <w:tc>
          <w:tcPr>
            <w:tcW w:type="dxa" w:w="6624"/>
            <w:vAlign w:val="top"/>
            <w:shd w:fill="F8FAFC"/>
          </w:tcPr>
          <w:p>
            <w:r>
              <w:rPr>
                <w:rFonts w:ascii="Inter" w:hAnsi="Inter"/>
                <w:b w:val="0"/>
                <w:color w:val="0F1B3D"/>
                <w:sz w:val="16"/>
              </w:rPr>
              <w:t>Actualité / opportunités / événements</w:t>
            </w:r>
          </w:p>
        </w:tc>
      </w:tr>
    </w:tbl>
    <w:p>
      <w:pPr>
        <w:spacing w:after="40"/>
      </w:pPr>
    </w:p>
    <w:p>
      <w:r>
        <w:rPr>
          <w:rFonts w:ascii="Inter" w:hAnsi="Inter"/>
          <w:color w:val="0F1B3D"/>
        </w:rPr>
        <w:t>Au lancement : AI recommendation → human approval → calendar update. L’autonomie peut augmenter uniquement pour les contenus LOW RISK.</w:t>
      </w:r>
    </w:p>
    <w:p>
      <w:pPr>
        <w:pStyle w:val="Heading1"/>
      </w:pPr>
      <w:r>
        <w:t>14. A/B testing</w:t>
      </w:r>
    </w:p>
    <w:p>
      <w:pPr>
        <w:pStyle w:val="ListBullet"/>
      </w:pPr>
      <w:r>
        <w:rPr>
          <w:rFonts w:ascii="Inter" w:hAnsi="Inter"/>
        </w:rPr>
        <w:t>Hooks : même idée, formulation A/B.</w:t>
      </w:r>
    </w:p>
    <w:p>
      <w:pPr>
        <w:pStyle w:val="ListBullet"/>
      </w:pPr>
      <w:r>
        <w:rPr>
          <w:rFonts w:ascii="Inter" w:hAnsi="Inter"/>
        </w:rPr>
        <w:t>CTA : Découvrir equirs vs Préparer votre cession vs Publier une entreprise.</w:t>
      </w:r>
    </w:p>
    <w:p>
      <w:pPr>
        <w:pStyle w:val="ListBullet"/>
      </w:pPr>
      <w:r>
        <w:rPr>
          <w:rFonts w:ascii="Inter" w:hAnsi="Inter"/>
        </w:rPr>
        <w:t>Formats : carrousel vs Reel vs post texte.</w:t>
      </w:r>
    </w:p>
    <w:p>
      <w:pPr>
        <w:pStyle w:val="ListBullet"/>
      </w:pPr>
      <w:r>
        <w:rPr>
          <w:rFonts w:ascii="Inter" w:hAnsi="Inter"/>
        </w:rPr>
        <w:t>Couples à apprendre : TOPIC + FORMAT + PERSONA + NETWORK.</w:t>
      </w:r>
    </w:p>
    <w:p>
      <w:pPr>
        <w:pStyle w:val="Heading1"/>
      </w:pPr>
      <w:r>
        <w:t>15. Content intelligence &amp; fatigue</w:t>
      </w:r>
    </w:p>
    <w:p>
      <w:r>
        <w:rPr>
          <w:rFonts w:ascii="Inter" w:hAnsi="Inter"/>
          <w:color w:val="0F1B3D"/>
        </w:rPr>
        <w:t>Après quelques mois, identifier les combinaisons les plus performantes. Surveiller la fatigue : si fréquence d’un thème augmente pendant que CTR, engagement et conversion baissent, signaler CONTENT FATIGUE et réorienter le territoire éditorial.</w:t>
      </w:r>
    </w:p>
    <w:p>
      <w:pPr>
        <w:pStyle w:val="Heading1"/>
      </w:pPr>
      <w:r>
        <w:t>16. Questions utilisateurs et témoignages</w:t>
      </w:r>
    </w:p>
    <w:p>
      <w:pPr>
        <w:pStyle w:val="ListBullet"/>
      </w:pPr>
      <w:r>
        <w:rPr>
          <w:rFonts w:ascii="Inter" w:hAnsi="Inter"/>
        </w:rPr>
        <w:t>Transformer les questions récurrentes du chatbot, support et commentaires en sujets éditoriaux.</w:t>
      </w:r>
    </w:p>
    <w:p>
      <w:pPr>
        <w:pStyle w:val="ListBullet"/>
      </w:pPr>
      <w:r>
        <w:rPr>
          <w:rFonts w:ascii="Inter" w:hAnsi="Inter"/>
        </w:rPr>
        <w:t>Témoignage utilisateur : permission explicite avant toute réutilisation marketing.</w:t>
      </w:r>
    </w:p>
    <w:p>
      <w:pPr>
        <w:pStyle w:val="Heading1"/>
      </w:pPr>
      <w:r>
        <w:t>17. Newsletters automatisées</w:t>
      </w:r>
    </w:p>
    <w:p>
      <w:pPr>
        <w:spacing w:before="100" w:after="140"/>
        <w:ind w:left="432" w:right="288"/>
        <w:pBdr>
          <w:left w:val="single" w:sz="18" w:space="8" w:color="1EB367"/>
        </w:pBdr>
      </w:pPr>
      <w:r>
        <w:rPr>
          <w:rFonts w:ascii="Inter" w:hAnsi="Inter"/>
          <w:b/>
          <w:i/>
          <w:color w:val="0F1B3D"/>
          <w:sz w:val="22"/>
        </w:rPr>
        <w:t>GET NEW LISTINGS + GET TOP ARTICLE + GET TOP INSIGHT → GENERATE NEWSLETTER → APPROVAL → SEND</w:t>
      </w:r>
    </w:p>
    <w:p>
      <w:r>
        <w:rPr>
          <w:rFonts w:ascii="Inter" w:hAnsi="Inter"/>
          <w:color w:val="0F1B3D"/>
        </w:rPr>
        <w:t>À terme, personnaliser selon recherches sauvegardées et préférences de catégorie/région lorsque le cadre produit et consentement le permettent.</w:t>
      </w:r>
    </w:p>
    <w:p>
      <w:pPr>
        <w:pStyle w:val="Heading1"/>
      </w:pPr>
      <w:r>
        <w:t>18. Publicité payante</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4752"/>
            <w:shd w:fill="0F1B3D"/>
            <w:vAlign w:val="center"/>
          </w:tcPr>
          <w:p>
            <w:pPr>
              <w:jc w:val="center"/>
            </w:pPr>
            <w:r>
              <w:rPr>
                <w:rFonts w:ascii="Inter" w:hAnsi="Inter"/>
                <w:b/>
                <w:color w:val="FFFFFF"/>
                <w:sz w:val="16"/>
              </w:rPr>
              <w:t>Vendeur</w:t>
            </w:r>
          </w:p>
        </w:tc>
        <w:tc>
          <w:tcPr>
            <w:tcW w:type="dxa" w:w="4752"/>
            <w:shd w:fill="0F1B3D"/>
            <w:vAlign w:val="center"/>
          </w:tcPr>
          <w:p>
            <w:pPr>
              <w:jc w:val="center"/>
            </w:pPr>
            <w:r>
              <w:rPr>
                <w:rFonts w:ascii="Inter" w:hAnsi="Inter"/>
                <w:b/>
                <w:color w:val="FFFFFF"/>
                <w:sz w:val="16"/>
              </w:rPr>
              <w:t>Acheteur</w:t>
            </w:r>
          </w:p>
        </w:tc>
      </w:tr>
      <w:tr>
        <w:trPr>
          <w:cantSplit/>
        </w:trPr>
        <w:tc>
          <w:tcPr>
            <w:tcW w:type="dxa" w:w="4752"/>
            <w:vAlign w:val="top"/>
            <w:shd w:fill="F8FAFC"/>
          </w:tcPr>
          <w:p>
            <w:r>
              <w:rPr>
                <w:rFonts w:ascii="Inter" w:hAnsi="Inter"/>
                <w:b w:val="0"/>
                <w:color w:val="0F1B3D"/>
                <w:sz w:val="16"/>
              </w:rPr>
              <w:t>Cost / seller lead</w:t>
            </w:r>
          </w:p>
        </w:tc>
        <w:tc>
          <w:tcPr>
            <w:tcW w:type="dxa" w:w="4752"/>
            <w:vAlign w:val="top"/>
            <w:shd w:fill="F8FAFC"/>
          </w:tcPr>
          <w:p>
            <w:r>
              <w:rPr>
                <w:rFonts w:ascii="Inter" w:hAnsi="Inter"/>
                <w:b w:val="0"/>
                <w:color w:val="0F1B3D"/>
                <w:sz w:val="16"/>
              </w:rPr>
              <w:t>Cost / registration</w:t>
            </w:r>
          </w:p>
        </w:tc>
      </w:tr>
      <w:tr>
        <w:trPr>
          <w:cantSplit/>
        </w:trPr>
        <w:tc>
          <w:tcPr>
            <w:tcW w:type="dxa" w:w="4752"/>
            <w:vAlign w:val="top"/>
          </w:tcPr>
          <w:p>
            <w:r>
              <w:rPr>
                <w:rFonts w:ascii="Inter" w:hAnsi="Inter"/>
                <w:b w:val="0"/>
                <w:color w:val="0F1B3D"/>
                <w:sz w:val="16"/>
              </w:rPr>
              <w:t>Cost / listing started</w:t>
            </w:r>
          </w:p>
        </w:tc>
        <w:tc>
          <w:tcPr>
            <w:tcW w:type="dxa" w:w="4752"/>
            <w:vAlign w:val="top"/>
          </w:tcPr>
          <w:p>
            <w:r>
              <w:rPr>
                <w:rFonts w:ascii="Inter" w:hAnsi="Inter"/>
                <w:b w:val="0"/>
                <w:color w:val="0F1B3D"/>
                <w:sz w:val="16"/>
              </w:rPr>
              <w:t>Cost / unlock</w:t>
            </w:r>
          </w:p>
        </w:tc>
      </w:tr>
      <w:tr>
        <w:trPr>
          <w:cantSplit/>
        </w:trPr>
        <w:tc>
          <w:tcPr>
            <w:tcW w:type="dxa" w:w="4752"/>
            <w:vAlign w:val="top"/>
            <w:shd w:fill="F8FAFC"/>
          </w:tcPr>
          <w:p>
            <w:r>
              <w:rPr>
                <w:rFonts w:ascii="Inter" w:hAnsi="Inter"/>
                <w:b w:val="0"/>
                <w:color w:val="0F1B3D"/>
                <w:sz w:val="16"/>
              </w:rPr>
              <w:t>Cost / listing published</w:t>
            </w:r>
          </w:p>
        </w:tc>
        <w:tc>
          <w:tcPr>
            <w:tcW w:type="dxa" w:w="4752"/>
            <w:vAlign w:val="top"/>
            <w:shd w:fill="F8FAFC"/>
          </w:tcPr>
          <w:p>
            <w:r>
              <w:rPr>
                <w:rFonts w:ascii="Inter" w:hAnsi="Inter"/>
                <w:b w:val="0"/>
                <w:color w:val="0F1B3D"/>
                <w:sz w:val="16"/>
              </w:rPr>
              <w:t>Cost / NDA</w:t>
            </w:r>
          </w:p>
        </w:tc>
      </w:tr>
      <w:tr>
        <w:trPr>
          <w:cantSplit/>
        </w:trPr>
        <w:tc>
          <w:tcPr>
            <w:tcW w:type="dxa" w:w="4752"/>
            <w:vAlign w:val="top"/>
          </w:tcPr>
          <w:p>
            <w:r>
              <w:rPr>
                <w:rFonts w:ascii="Inter" w:hAnsi="Inter"/>
                <w:b w:val="0"/>
                <w:color w:val="0F1B3D"/>
                <w:sz w:val="16"/>
              </w:rPr>
              <w:t>Cost / verified listing</w:t>
            </w:r>
          </w:p>
        </w:tc>
        <w:tc>
          <w:tcPr>
            <w:tcW w:type="dxa" w:w="4752"/>
            <w:vAlign w:val="top"/>
          </w:tcPr>
          <w:p>
            <w:r>
              <w:rPr>
                <w:rFonts w:ascii="Inter" w:hAnsi="Inter"/>
                <w:b w:val="0"/>
                <w:color w:val="0F1B3D"/>
                <w:sz w:val="16"/>
              </w:rPr>
              <w:t>Cost / offer</w:t>
            </w:r>
          </w:p>
        </w:tc>
      </w:tr>
    </w:tbl>
    <w:p>
      <w:pPr>
        <w:spacing w:after="40"/>
      </w:pPr>
    </w:p>
    <w:p>
      <w:pPr>
        <w:pStyle w:val="Heading1"/>
      </w:pPr>
      <w:r>
        <w:t>19. Alertes automatiques</w:t>
      </w:r>
    </w:p>
    <w:p>
      <w:pPr>
        <w:pStyle w:val="ListBullet"/>
      </w:pPr>
      <w:r>
        <w:rPr>
          <w:rFonts w:ascii="Inter" w:hAnsi="Inter"/>
        </w:rPr>
        <w:t>publish_listing chute &gt; 40 %</w:t>
      </w:r>
    </w:p>
    <w:p>
      <w:pPr>
        <w:pStyle w:val="ListBullet"/>
      </w:pPr>
      <w:r>
        <w:rPr>
          <w:rFonts w:ascii="Inter" w:hAnsi="Inter"/>
        </w:rPr>
        <w:t>cost_per_listing augmente &gt; 50 %</w:t>
      </w:r>
    </w:p>
    <w:p>
      <w:pPr>
        <w:pStyle w:val="ListBullet"/>
      </w:pPr>
      <w:r>
        <w:rPr>
          <w:rFonts w:ascii="Inter" w:hAnsi="Inter"/>
        </w:rPr>
        <w:t>forte baisse de conversion web</w:t>
      </w:r>
    </w:p>
    <w:p>
      <w:pPr>
        <w:pStyle w:val="ListBullet"/>
      </w:pPr>
      <w:r>
        <w:rPr>
          <w:rFonts w:ascii="Inter" w:hAnsi="Inter"/>
        </w:rPr>
        <w:t>publication planifiée non exécutée</w:t>
      </w:r>
    </w:p>
    <w:p>
      <w:pPr>
        <w:pStyle w:val="ListBullet"/>
      </w:pPr>
      <w:r>
        <w:rPr>
          <w:rFonts w:ascii="Inter" w:hAnsi="Inter"/>
        </w:rPr>
        <w:t>workflow en erreur</w:t>
      </w:r>
    </w:p>
    <w:p>
      <w:pPr>
        <w:pStyle w:val="ListBullet"/>
      </w:pPr>
      <w:r>
        <w:rPr>
          <w:rFonts w:ascii="Inter" w:hAnsi="Inter"/>
        </w:rPr>
        <w:t>asset manquant</w:t>
      </w:r>
    </w:p>
    <w:p>
      <w:pPr>
        <w:pStyle w:val="Heading1"/>
      </w:pPr>
      <w:r>
        <w:t>20. Rythme de pilotage</w:t>
      </w:r>
    </w:p>
    <w:tbl>
      <w:tblPr>
        <w:tblStyle w:val="TableGrid"/>
        <w:tblW w:type="auto" w:w="0"/>
        <w:jc w:val="center"/>
        <w:tblLayout w:type="autofit"/>
        <w:tblLook w:firstColumn="1" w:firstRow="1" w:lastColumn="0" w:lastRow="0" w:noHBand="0" w:noVBand="1" w:val="04A0"/>
      </w:tblPr>
      <w:tblGrid>
        <w:gridCol w:w="5040"/>
        <w:gridCol w:w="5040"/>
      </w:tblGrid>
      <w:tr>
        <w:trPr>
          <w:cantSplit/>
        </w:trPr>
        <w:tc>
          <w:tcPr>
            <w:tcW w:type="dxa" w:w="2160"/>
            <w:shd w:fill="0F1B3D"/>
            <w:vAlign w:val="center"/>
          </w:tcPr>
          <w:p>
            <w:pPr>
              <w:jc w:val="center"/>
            </w:pPr>
            <w:r>
              <w:rPr>
                <w:rFonts w:ascii="Inter" w:hAnsi="Inter"/>
                <w:b/>
                <w:color w:val="FFFFFF"/>
                <w:sz w:val="16"/>
              </w:rPr>
              <w:t>Fréquence</w:t>
            </w:r>
          </w:p>
        </w:tc>
        <w:tc>
          <w:tcPr>
            <w:tcW w:type="dxa" w:w="7632"/>
            <w:shd w:fill="0F1B3D"/>
            <w:vAlign w:val="center"/>
          </w:tcPr>
          <w:p>
            <w:pPr>
              <w:jc w:val="center"/>
            </w:pPr>
            <w:r>
              <w:rPr>
                <w:rFonts w:ascii="Inter" w:hAnsi="Inter"/>
                <w:b/>
                <w:color w:val="FFFFFF"/>
                <w:sz w:val="16"/>
              </w:rPr>
              <w:t>Contrôle</w:t>
            </w:r>
          </w:p>
        </w:tc>
      </w:tr>
      <w:tr>
        <w:trPr>
          <w:cantSplit/>
        </w:trPr>
        <w:tc>
          <w:tcPr>
            <w:tcW w:type="dxa" w:w="2160"/>
            <w:vAlign w:val="top"/>
            <w:shd w:fill="F8FAFC"/>
          </w:tcPr>
          <w:p>
            <w:r>
              <w:rPr>
                <w:rFonts w:ascii="Inter" w:hAnsi="Inter"/>
                <w:b w:val="0"/>
                <w:color w:val="0F1B3D"/>
                <w:sz w:val="16"/>
              </w:rPr>
              <w:t>Quotidien</w:t>
            </w:r>
          </w:p>
        </w:tc>
        <w:tc>
          <w:tcPr>
            <w:tcW w:type="dxa" w:w="7632"/>
            <w:vAlign w:val="top"/>
            <w:shd w:fill="F8FAFC"/>
          </w:tcPr>
          <w:p>
            <w:r>
              <w:rPr>
                <w:rFonts w:ascii="Inter" w:hAnsi="Inter"/>
                <w:b w:val="0"/>
                <w:color w:val="0F1B3D"/>
                <w:sz w:val="16"/>
              </w:rPr>
              <w:t>Publication health, tracking, workflows en erreur, assets, anomalies ads.</w:t>
            </w:r>
          </w:p>
        </w:tc>
      </w:tr>
      <w:tr>
        <w:trPr>
          <w:cantSplit/>
        </w:trPr>
        <w:tc>
          <w:tcPr>
            <w:tcW w:type="dxa" w:w="2160"/>
            <w:vAlign w:val="top"/>
          </w:tcPr>
          <w:p>
            <w:r>
              <w:rPr>
                <w:rFonts w:ascii="Inter" w:hAnsi="Inter"/>
                <w:b w:val="0"/>
                <w:color w:val="0F1B3D"/>
                <w:sz w:val="16"/>
              </w:rPr>
              <w:t>Hebdomadaire</w:t>
            </w:r>
          </w:p>
        </w:tc>
        <w:tc>
          <w:tcPr>
            <w:tcW w:type="dxa" w:w="7632"/>
            <w:vAlign w:val="top"/>
          </w:tcPr>
          <w:p>
            <w:r>
              <w:rPr>
                <w:rFonts w:ascii="Inter" w:hAnsi="Inter"/>
                <w:b w:val="0"/>
                <w:color w:val="0F1B3D"/>
                <w:sz w:val="16"/>
              </w:rPr>
              <w:t>Content performance, acquisition, funnel, marketplace health, recommandations.</w:t>
            </w:r>
          </w:p>
        </w:tc>
      </w:tr>
      <w:tr>
        <w:trPr>
          <w:cantSplit/>
        </w:trPr>
        <w:tc>
          <w:tcPr>
            <w:tcW w:type="dxa" w:w="2160"/>
            <w:vAlign w:val="top"/>
            <w:shd w:fill="F8FAFC"/>
          </w:tcPr>
          <w:p>
            <w:r>
              <w:rPr>
                <w:rFonts w:ascii="Inter" w:hAnsi="Inter"/>
                <w:b w:val="0"/>
                <w:color w:val="0F1B3D"/>
                <w:sz w:val="16"/>
              </w:rPr>
              <w:t>Mensuel</w:t>
            </w:r>
          </w:p>
        </w:tc>
        <w:tc>
          <w:tcPr>
            <w:tcW w:type="dxa" w:w="7632"/>
            <w:vAlign w:val="top"/>
            <w:shd w:fill="F8FAFC"/>
          </w:tcPr>
          <w:p>
            <w:r>
              <w:rPr>
                <w:rFonts w:ascii="Inter" w:hAnsi="Inter"/>
                <w:b w:val="0"/>
                <w:color w:val="0F1B3D"/>
                <w:sz w:val="16"/>
              </w:rPr>
              <w:t>Canaux et contenus générant réellement des transactions, réallocation budget et priorités.</w:t>
            </w:r>
          </w:p>
        </w:tc>
      </w:tr>
    </w:tbl>
    <w:p>
      <w:pPr>
        <w:spacing w:after="40"/>
      </w:pPr>
    </w:p>
    <w:p>
      <w:pPr>
        <w:pStyle w:val="Heading1"/>
      </w:pPr>
      <w:r>
        <w:t>21. Architecture des données</w:t>
      </w:r>
    </w:p>
    <w:p>
      <w:pPr>
        <w:spacing w:before="100" w:after="140"/>
        <w:ind w:left="432" w:right="288"/>
        <w:pBdr>
          <w:left w:val="single" w:sz="18" w:space="8" w:color="1EB367"/>
        </w:pBdr>
      </w:pPr>
      <w:r>
        <w:rPr>
          <w:rFonts w:ascii="Inter" w:hAnsi="Inter"/>
          <w:b/>
          <w:i/>
          <w:color w:val="0F1B3D"/>
          <w:sz w:val="22"/>
        </w:rPr>
        <w:t>CONTENT ↔ PUBLICATIONS ↔ PERFORMANCE ↔ CONVERSIONS, reliés par content_id et, lorsque pertinent, campaign_id / user_id pseudonymisé / listing_id.</w:t>
      </w:r>
    </w:p>
    <w:p>
      <w:pPr>
        <w:pStyle w:val="Heading1"/>
      </w:pPr>
      <w:r>
        <w:t>22. Boucle finale</w:t>
      </w:r>
    </w:p>
    <w:p>
      <w:pPr>
        <w:spacing w:before="100" w:after="140"/>
        <w:ind w:left="432" w:right="288"/>
        <w:pBdr>
          <w:left w:val="single" w:sz="18" w:space="8" w:color="1EB367"/>
        </w:pBdr>
      </w:pPr>
      <w:r>
        <w:rPr>
          <w:rFonts w:ascii="Inter" w:hAnsi="Inter"/>
          <w:b/>
          <w:i/>
          <w:color w:val="0F1B3D"/>
          <w:sz w:val="22"/>
        </w:rPr>
        <w:t>KNOWLEDGE BASE → PLAN 90 JOURS → CALENDRIER → CONTENT FACTORY → CANVA → VALIDATION → PUBLICATION → UTM → SOCIAL + GA4 + EQUIRS EVENTS → DATASET → AI ANALYST → RECOMMANDATIONS → CALENDRIER SUIVANT ↺</w:t>
      </w:r>
    </w:p>
    <w:p>
      <w:pPr>
        <w:pStyle w:val="Heading2"/>
      </w:pPr>
      <w:r>
        <w:t>Source interne</w:t>
      </w:r>
    </w:p>
    <w:p>
      <w:pPr>
        <w:pStyle w:val="SmallNote"/>
      </w:pPr>
      <w:r>
        <w:rPr>
          <w:rFonts w:ascii="Inter" w:hAnsi="Inter"/>
          <w:b w:val="0"/>
          <w:color w:val="5A6475"/>
          <w:sz w:val="16"/>
        </w:rPr>
        <w:t>Document de présentation du projet equirs — Dossier de référence pour l'équipe Marketing, vérifié sur la plateforme le 29/08/2026. Les tarifs et paramètres opérationnels doivent être revalidés avant publication s'ils ont pu évoluer.</w:t>
      </w:r>
    </w:p>
    <w:sectPr w:rsidR="00FC693F" w:rsidRPr="0006063C" w:rsidSect="00034616">
      <w:headerReference w:type="default" r:id="rId10"/>
      <w:footerReference w:type="default" r:id="rId11"/>
      <w:pgSz w:w="12240" w:h="15840"/>
      <w:pgMar w:top="936"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b w:val="0"/>
        <w:color w:val="5A6475"/>
        <w:sz w:val="14"/>
      </w:rPr>
      <w:t>equirs — Document confidentiel, usage interne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Inter" w:hAnsi="Inter"/>
        <w:b w:val="0"/>
        <w:color w:val="5A6475"/>
        <w:sz w:val="14"/>
      </w:rPr>
      <w:t>equirs — 05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Inter" w:hAnsi="Inter"/>
      <w:color w:val="0F1B3D"/>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Inter" w:hAnsi="Inter"/>
      <w:b/>
      <w:bCs/>
      <w:color w:val="0F1B3D"/>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Inter" w:hAnsi="Inter"/>
      <w:b/>
      <w:bCs/>
      <w:color w:val="7352C7"/>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Inter" w:hAnsi="Inter"/>
      <w:b/>
      <w:bCs/>
      <w:color w:val="1EB367"/>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Inter" w:hAnsi="Inter"/>
      <w:b/>
      <w:color w:val="0F1B3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Note"/>
    <w:rPr>
      <w:rFonts w:ascii="Inter" w:hAnsi="Inter"/>
      <w:color w:val="5A647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